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4029" w14:textId="77777777" w:rsidR="00255C5F" w:rsidRPr="00162E7A" w:rsidRDefault="00255C5F" w:rsidP="00255C5F">
      <w:pPr>
        <w:ind w:left="5387" w:firstLine="1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</w:pPr>
      <w:r w:rsidRPr="00162E7A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 xml:space="preserve">Приложение № 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>2</w:t>
      </w:r>
    </w:p>
    <w:p w14:paraId="214B4DB9" w14:textId="77777777" w:rsidR="00255C5F" w:rsidRPr="00162E7A" w:rsidRDefault="00255C5F" w:rsidP="00255C5F">
      <w:pPr>
        <w:ind w:left="5387" w:firstLine="1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</w:pPr>
      <w:r w:rsidRPr="00162E7A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>УТВЕРЖДЕНА</w:t>
      </w:r>
    </w:p>
    <w:p w14:paraId="60F16A1A" w14:textId="77777777" w:rsidR="00255C5F" w:rsidRPr="00B94DE2" w:rsidRDefault="00255C5F" w:rsidP="00255C5F">
      <w:pPr>
        <w:ind w:left="5387" w:firstLine="1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</w:pPr>
      <w:r w:rsidRPr="00B94DE2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>распоряжением председателя</w:t>
      </w:r>
    </w:p>
    <w:p w14:paraId="2880549E" w14:textId="77777777" w:rsidR="00255C5F" w:rsidRPr="00B94DE2" w:rsidRDefault="00255C5F" w:rsidP="00255C5F">
      <w:pPr>
        <w:ind w:left="5387" w:firstLine="1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>тавдинской районной</w:t>
      </w:r>
      <w:r w:rsidRPr="00B94DE2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 xml:space="preserve"> территориальной избирательной комиссии </w:t>
      </w:r>
      <w:r w:rsidRPr="00B94DE2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br/>
        <w:t xml:space="preserve">от 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 xml:space="preserve">5 марта </w:t>
      </w:r>
      <w:r w:rsidRPr="00B94DE2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 xml:space="preserve">2025 г. № 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>16</w:t>
      </w:r>
    </w:p>
    <w:p w14:paraId="5E3AFDD3" w14:textId="77777777" w:rsidR="00255C5F" w:rsidRPr="004B66C5" w:rsidRDefault="00255C5F" w:rsidP="00255C5F">
      <w:pPr>
        <w:pStyle w:val="32"/>
        <w:shd w:val="clear" w:color="auto" w:fill="auto"/>
        <w:tabs>
          <w:tab w:val="left" w:pos="5133"/>
          <w:tab w:val="left" w:pos="7387"/>
        </w:tabs>
        <w:spacing w:after="0" w:line="240" w:lineRule="auto"/>
        <w:ind w:left="4280"/>
        <w:rPr>
          <w:rFonts w:ascii="Liberation Serif" w:hAnsi="Liberation Serif"/>
          <w:sz w:val="28"/>
          <w:szCs w:val="28"/>
        </w:rPr>
      </w:pPr>
    </w:p>
    <w:p w14:paraId="18286BFC" w14:textId="77777777" w:rsidR="00255C5F" w:rsidRPr="004B66C5" w:rsidRDefault="00255C5F" w:rsidP="00255C5F">
      <w:pPr>
        <w:pStyle w:val="32"/>
        <w:shd w:val="clear" w:color="auto" w:fill="auto"/>
        <w:tabs>
          <w:tab w:val="left" w:pos="5133"/>
          <w:tab w:val="left" w:pos="7387"/>
        </w:tabs>
        <w:spacing w:after="0" w:line="240" w:lineRule="auto"/>
        <w:ind w:left="4280"/>
        <w:rPr>
          <w:rFonts w:ascii="Liberation Serif" w:hAnsi="Liberation Serif"/>
          <w:sz w:val="28"/>
          <w:szCs w:val="28"/>
        </w:rPr>
      </w:pPr>
    </w:p>
    <w:p w14:paraId="61C35E57" w14:textId="77777777" w:rsidR="00255C5F" w:rsidRPr="004B66C5" w:rsidRDefault="00255C5F" w:rsidP="00255C5F">
      <w:pPr>
        <w:pStyle w:val="42"/>
        <w:shd w:val="clear" w:color="auto" w:fill="auto"/>
        <w:spacing w:before="0" w:line="240" w:lineRule="auto"/>
        <w:ind w:right="20"/>
        <w:rPr>
          <w:rFonts w:ascii="Liberation Serif" w:hAnsi="Liberation Serif"/>
          <w:sz w:val="28"/>
          <w:szCs w:val="28"/>
        </w:rPr>
      </w:pPr>
      <w:r w:rsidRPr="004B66C5">
        <w:rPr>
          <w:rFonts w:ascii="Liberation Serif" w:hAnsi="Liberation Serif"/>
          <w:sz w:val="28"/>
          <w:szCs w:val="28"/>
        </w:rPr>
        <w:t>ПОЛИТИКА</w:t>
      </w:r>
    </w:p>
    <w:p w14:paraId="1F070780" w14:textId="77777777" w:rsidR="00255C5F" w:rsidRDefault="00255C5F" w:rsidP="00255C5F">
      <w:pPr>
        <w:pStyle w:val="42"/>
        <w:shd w:val="clear" w:color="auto" w:fill="auto"/>
        <w:spacing w:before="0" w:line="240" w:lineRule="auto"/>
        <w:ind w:right="20"/>
        <w:rPr>
          <w:rFonts w:ascii="Liberation Serif" w:hAnsi="Liberation Serif"/>
          <w:sz w:val="28"/>
          <w:szCs w:val="28"/>
        </w:rPr>
      </w:pPr>
      <w:r w:rsidRPr="004B66C5">
        <w:rPr>
          <w:rFonts w:ascii="Liberation Serif" w:hAnsi="Liberation Serif"/>
          <w:sz w:val="28"/>
          <w:szCs w:val="28"/>
        </w:rPr>
        <w:t>информационной безопасности</w:t>
      </w:r>
      <w:r w:rsidRPr="004B66C5">
        <w:rPr>
          <w:rFonts w:ascii="Liberation Serif" w:hAnsi="Liberation Serif"/>
          <w:sz w:val="28"/>
          <w:szCs w:val="28"/>
        </w:rPr>
        <w:br/>
        <w:t>при</w:t>
      </w:r>
      <w:r>
        <w:rPr>
          <w:rFonts w:ascii="Liberation Serif" w:hAnsi="Liberation Serif"/>
          <w:sz w:val="28"/>
          <w:szCs w:val="28"/>
        </w:rPr>
        <w:t xml:space="preserve"> работе с персональными данными</w:t>
      </w:r>
    </w:p>
    <w:p w14:paraId="6BB76F72" w14:textId="77777777" w:rsidR="00255C5F" w:rsidRPr="004B66C5" w:rsidRDefault="00255C5F" w:rsidP="00255C5F">
      <w:pPr>
        <w:pStyle w:val="42"/>
        <w:shd w:val="clear" w:color="auto" w:fill="auto"/>
        <w:spacing w:before="0" w:line="240" w:lineRule="auto"/>
        <w:ind w:right="20"/>
      </w:pPr>
      <w:r>
        <w:rPr>
          <w:rFonts w:ascii="Liberation Serif" w:hAnsi="Liberation Serif"/>
          <w:sz w:val="28"/>
          <w:szCs w:val="28"/>
        </w:rPr>
        <w:t>в Тавдинской районной</w:t>
      </w:r>
      <w:r w:rsidRPr="00B94DE2"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комиссии</w:t>
      </w:r>
      <w:bookmarkStart w:id="0" w:name="bookmark2"/>
      <w:bookmarkStart w:id="1" w:name="_Toc190767191"/>
    </w:p>
    <w:p w14:paraId="773B6039" w14:textId="77777777" w:rsidR="00255C5F" w:rsidRPr="00255C5F" w:rsidRDefault="00255C5F" w:rsidP="00255C5F">
      <w:pPr>
        <w:pStyle w:val="1"/>
        <w:jc w:val="center"/>
        <w:rPr>
          <w:rFonts w:ascii="Liberation Serif" w:hAnsi="Liberation Serif"/>
          <w:color w:val="auto"/>
          <w:sz w:val="28"/>
          <w:szCs w:val="28"/>
        </w:rPr>
      </w:pPr>
      <w:r w:rsidRPr="00255C5F">
        <w:rPr>
          <w:rFonts w:ascii="Liberation Serif" w:hAnsi="Liberation Serif"/>
          <w:color w:val="auto"/>
          <w:sz w:val="28"/>
          <w:szCs w:val="28"/>
        </w:rPr>
        <w:t>ОПРЕДЕЛЕНИЯ</w:t>
      </w:r>
      <w:bookmarkEnd w:id="0"/>
      <w:bookmarkEnd w:id="1"/>
    </w:p>
    <w:p w14:paraId="3BE755A1" w14:textId="77777777" w:rsidR="00255C5F" w:rsidRPr="004B66C5" w:rsidRDefault="00255C5F" w:rsidP="00255C5F">
      <w:pPr>
        <w:pStyle w:val="ac"/>
      </w:pPr>
      <w:r w:rsidRPr="004B66C5">
        <w:t>В настоящем документе используются следующие термины и их определения.</w:t>
      </w:r>
    </w:p>
    <w:p w14:paraId="34CCE31F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Автоматизированная система </w:t>
      </w:r>
      <w:r w:rsidRPr="004B66C5">
        <w:t>- система, состоящая из персонала и комплекса средств автоматизации его деятельности, реализующая информа</w:t>
      </w:r>
      <w:r w:rsidRPr="004B66C5">
        <w:softHyphen/>
        <w:t>ционную технологию выполнения установленных функций.</w:t>
      </w:r>
    </w:p>
    <w:p w14:paraId="3331E9BD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Аутентификация отправителя данных </w:t>
      </w:r>
      <w:r w:rsidRPr="004B66C5">
        <w:t>- подтверждение того, что отправитель полученных данных соответствует заявленному.</w:t>
      </w:r>
    </w:p>
    <w:p w14:paraId="1CE0CA75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Безопасность персональных данных </w:t>
      </w:r>
      <w:r w:rsidRPr="004B66C5">
        <w:t>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14:paraId="76C3B953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Биометрические персональные данные </w:t>
      </w:r>
      <w:r w:rsidRPr="004B66C5">
        <w:t>-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14:paraId="4DA9A8A7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napToGrid w:val="0"/>
          <w:szCs w:val="28"/>
        </w:rPr>
        <w:t>Блокирование</w:t>
      </w:r>
      <w:r w:rsidRPr="004B66C5">
        <w:rPr>
          <w:rStyle w:val="23"/>
          <w:rFonts w:eastAsia="Arial Unicode MS"/>
          <w:szCs w:val="28"/>
        </w:rPr>
        <w:t xml:space="preserve"> персональных данных </w:t>
      </w:r>
      <w:r w:rsidRPr="004B66C5">
        <w:t>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B7E01F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Вирус (компьютерный, программный) </w:t>
      </w:r>
      <w:r w:rsidRPr="004B66C5">
        <w:t>- исполняемый программный код или интерпретируемый набор инструкций, обладающий свойствами не</w:t>
      </w:r>
      <w:r w:rsidRPr="004B66C5">
        <w:softHyphen/>
        <w:t>санкционированного распространения и самовоспроизведения. Созданные дубликаты компьютерного вируса не всегда совпадают с оригиналом, но со</w:t>
      </w:r>
      <w:r w:rsidRPr="004B66C5">
        <w:softHyphen/>
        <w:t>храняют способность к дальнейшему распространению и самовоспроизведе</w:t>
      </w:r>
      <w:r w:rsidRPr="004B66C5">
        <w:softHyphen/>
        <w:t>нию.</w:t>
      </w:r>
    </w:p>
    <w:p w14:paraId="291DA362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lastRenderedPageBreak/>
        <w:t xml:space="preserve">Вредоносная программа </w:t>
      </w:r>
      <w:r w:rsidRPr="004B66C5">
        <w:t>- программа, предназначенная для осуществ</w:t>
      </w:r>
      <w:r w:rsidRPr="004B66C5">
        <w:softHyphen/>
        <w:t>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14:paraId="7111C130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Вспомогательные технические средства и системы </w:t>
      </w:r>
      <w:r w:rsidRPr="004B66C5">
        <w:t>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14:paraId="512D4AEE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Доступ в операционную среду компьютера (информационной системы персональных данных) </w:t>
      </w:r>
      <w:r w:rsidRPr="004B66C5">
        <w:t>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14:paraId="51A071B0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Доступ к информации </w:t>
      </w:r>
      <w:r w:rsidRPr="004B66C5">
        <w:t>- возможность получения информации и ее использования.</w:t>
      </w:r>
    </w:p>
    <w:p w14:paraId="133655FD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Закладочное устройство </w:t>
      </w:r>
      <w:r w:rsidRPr="004B66C5">
        <w:t>-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14:paraId="268D97B7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Защищаемая информация </w:t>
      </w:r>
      <w:r w:rsidRPr="004B66C5">
        <w:t>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14:paraId="210201ED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Идентификация </w:t>
      </w:r>
      <w:r w:rsidRPr="004B66C5">
        <w:t>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14:paraId="6510AEA6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Информативный сигнал </w:t>
      </w:r>
      <w:r w:rsidRPr="004B66C5">
        <w:t>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данные), обрабатываемая в информационной системе персональных данных.</w:t>
      </w:r>
    </w:p>
    <w:p w14:paraId="4C08F012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Информационные технологии </w:t>
      </w:r>
      <w:r w:rsidRPr="004B66C5">
        <w:t>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14:paraId="0DEEAD3F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>Информационная система персональных данных (</w:t>
      </w:r>
      <w:proofErr w:type="spellStart"/>
      <w:r w:rsidRPr="004B66C5">
        <w:rPr>
          <w:rStyle w:val="23"/>
          <w:rFonts w:eastAsia="Arial Unicode MS"/>
          <w:szCs w:val="28"/>
        </w:rPr>
        <w:t>ИСПДн</w:t>
      </w:r>
      <w:proofErr w:type="spellEnd"/>
      <w:r w:rsidRPr="004B66C5">
        <w:rPr>
          <w:rStyle w:val="23"/>
          <w:rFonts w:eastAsia="Arial Unicode MS"/>
          <w:szCs w:val="28"/>
        </w:rPr>
        <w:t xml:space="preserve">) - </w:t>
      </w:r>
      <w:r w:rsidRPr="004B66C5"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18790109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Использование персональных данных </w:t>
      </w:r>
      <w:r w:rsidRPr="004B66C5">
        <w:t xml:space="preserve">- действия (операции) с персональными данными, совершаемые оператором в целях принятия </w:t>
      </w:r>
      <w:r w:rsidRPr="004B66C5">
        <w:lastRenderedPageBreak/>
        <w:t>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14:paraId="7529841E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Источник угрозы безопасности информации </w:t>
      </w:r>
      <w:r w:rsidRPr="004B66C5">
        <w:t>- субъект доступа, материальный объект или физическое явление, являющиеся причиной возникновения угрозы безопасности информации.</w:t>
      </w:r>
    </w:p>
    <w:p w14:paraId="54BE6889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Контролируемая зона </w:t>
      </w:r>
      <w:r w:rsidRPr="004B66C5">
        <w:t>-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14:paraId="27BD3081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Конфиденциальность персональных данных </w:t>
      </w:r>
      <w:r w:rsidRPr="004B66C5">
        <w:t>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14:paraId="1FFA8B73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Межсетевой экран </w:t>
      </w:r>
      <w:r w:rsidRPr="004B66C5">
        <w:t>- локальное (однокомпонентное) или функционально-</w:t>
      </w:r>
      <w:r w:rsidRPr="004B66C5">
        <w:softHyphen/>
        <w:t>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</w:p>
    <w:p w14:paraId="69C4724C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Нарушитель безопасности персональных данных </w:t>
      </w:r>
      <w:r w:rsidRPr="004B66C5">
        <w:t>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14:paraId="3061BE4E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Неавтоматизированная обработка персональных данных </w:t>
      </w:r>
      <w:r w:rsidRPr="004B66C5">
        <w:t>-</w:t>
      </w:r>
      <w:r w:rsidRPr="004B66C5">
        <w:rPr>
          <w:rStyle w:val="23"/>
          <w:rFonts w:eastAsia="Arial Unicode MS"/>
          <w:szCs w:val="28"/>
        </w:rPr>
        <w:t xml:space="preserve"> </w:t>
      </w:r>
      <w:r w:rsidRPr="004B66C5">
        <w:t>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14:paraId="30CE7102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Недекларированные возможности </w:t>
      </w:r>
      <w:r w:rsidRPr="004B66C5">
        <w:t>- функциональные возможности средств вычислительной техники, не описанные или не соответствующие описанным в документации, при использовании которых возможно нарушение конфиденциальности, доступности или целостности обрабатываемой ин</w:t>
      </w:r>
      <w:r w:rsidRPr="004B66C5">
        <w:softHyphen/>
        <w:t>формации.</w:t>
      </w:r>
    </w:p>
    <w:p w14:paraId="7AD215D1" w14:textId="77777777" w:rsidR="00255C5F" w:rsidRPr="004B66C5" w:rsidRDefault="00255C5F" w:rsidP="00255C5F">
      <w:pPr>
        <w:pStyle w:val="ac"/>
      </w:pPr>
      <w:r w:rsidRPr="004B66C5">
        <w:rPr>
          <w:b/>
        </w:rPr>
        <w:t>Несанкционированный доступ (несанкционированные действия)</w:t>
      </w:r>
      <w:r w:rsidRPr="004B66C5">
        <w:t xml:space="preserve"> - доступ к информации или действия с информацией, нарушающие правила раз</w:t>
      </w:r>
      <w:r w:rsidRPr="004B66C5">
        <w:softHyphen/>
        <w:t xml:space="preserve">граничения доступа с использованием штатных средств, предоставляемых </w:t>
      </w:r>
      <w:r w:rsidRPr="004B66C5">
        <w:lastRenderedPageBreak/>
        <w:t>информационными системами персональных данных.</w:t>
      </w:r>
    </w:p>
    <w:p w14:paraId="689BE6B0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Носитель информации </w:t>
      </w:r>
      <w:r w:rsidRPr="004B66C5">
        <w:t>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14:paraId="3FEDE034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Обезличивание персональных данных </w:t>
      </w:r>
      <w:r w:rsidRPr="004B66C5">
        <w:t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23BF04CE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Обработка персональных данных </w:t>
      </w:r>
      <w:r w:rsidRPr="004B66C5"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2282B79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Общедоступные персональные данные </w:t>
      </w:r>
      <w:r w:rsidRPr="004B66C5">
        <w:t>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14:paraId="0A18BC98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Оператор (персональных данных) </w:t>
      </w:r>
      <w:r w:rsidRPr="004B66C5"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207BB9A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Технические средства информационной системы персональных данных </w:t>
      </w:r>
      <w:r w:rsidRPr="004B66C5">
        <w:t xml:space="preserve">-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4B66C5">
        <w:t>ПДн</w:t>
      </w:r>
      <w:proofErr w:type="spellEnd"/>
      <w:r w:rsidRPr="004B66C5"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</w:t>
      </w:r>
      <w:proofErr w:type="spellStart"/>
      <w:r w:rsidRPr="004B66C5">
        <w:t>буквенно</w:t>
      </w:r>
      <w:r w:rsidRPr="004B66C5">
        <w:softHyphen/>
        <w:t>цифровой</w:t>
      </w:r>
      <w:proofErr w:type="spellEnd"/>
      <w:r w:rsidRPr="004B66C5">
        <w:t xml:space="preserve">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14:paraId="2DB4FF7A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Перехват (информации) </w:t>
      </w:r>
      <w:r w:rsidRPr="004B66C5">
        <w:t>-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14:paraId="13B9C0F7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Персональные данные </w:t>
      </w:r>
      <w:r w:rsidRPr="004B66C5">
        <w:t xml:space="preserve">- любая информация, относящаяся к прямо или косвенно определенному или определяемому физическому лицу (субъекту </w:t>
      </w:r>
      <w:r w:rsidRPr="004B66C5">
        <w:lastRenderedPageBreak/>
        <w:t>персональных данных);</w:t>
      </w:r>
    </w:p>
    <w:p w14:paraId="582C8ECF" w14:textId="77777777" w:rsidR="00255C5F" w:rsidRPr="004B66C5" w:rsidRDefault="00255C5F" w:rsidP="00255C5F">
      <w:pPr>
        <w:pStyle w:val="ac"/>
      </w:pPr>
      <w:bookmarkStart w:id="2" w:name="bookmark3"/>
      <w:r w:rsidRPr="004B66C5">
        <w:rPr>
          <w:b/>
        </w:rPr>
        <w:t>Побочные электромагнитные излучения и наводки</w:t>
      </w:r>
      <w:bookmarkEnd w:id="2"/>
      <w:r w:rsidRPr="004B66C5"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14:paraId="406F7530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Политика «чистого стола» </w:t>
      </w:r>
      <w:r w:rsidRPr="004B66C5">
        <w:t>-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14:paraId="0EEF920D" w14:textId="77777777" w:rsidR="00255C5F" w:rsidRPr="004B66C5" w:rsidRDefault="00255C5F" w:rsidP="00255C5F">
      <w:pPr>
        <w:pStyle w:val="ac"/>
      </w:pPr>
      <w:r w:rsidRPr="004B66C5">
        <w:rPr>
          <w:b/>
        </w:rPr>
        <w:t>Пользователь информационной системы персональных данных</w:t>
      </w:r>
      <w:r w:rsidRPr="004B66C5">
        <w:t xml:space="preserve">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14:paraId="17C2A782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Правила разграничения доступа </w:t>
      </w:r>
      <w:r w:rsidRPr="004B66C5">
        <w:t>- совокупность правил, регламентирующих права доступа субъектов доступа к объектам доступа.</w:t>
      </w:r>
    </w:p>
    <w:p w14:paraId="21A0F534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Программная закладка </w:t>
      </w:r>
      <w:r w:rsidRPr="004B66C5">
        <w:t>-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</w:t>
      </w:r>
      <w:r w:rsidRPr="004B66C5">
        <w:softHyphen/>
        <w:t>ратные средства.</w:t>
      </w:r>
    </w:p>
    <w:p w14:paraId="36EB909A" w14:textId="77777777" w:rsidR="00255C5F" w:rsidRPr="004B66C5" w:rsidRDefault="00255C5F" w:rsidP="00255C5F">
      <w:pPr>
        <w:pStyle w:val="ac"/>
      </w:pPr>
      <w:r w:rsidRPr="004B66C5">
        <w:rPr>
          <w:b/>
        </w:rPr>
        <w:t>Программное (программно-математическое) воздействие</w:t>
      </w:r>
      <w:r w:rsidRPr="004B66C5">
        <w:t xml:space="preserve"> -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14:paraId="06172D14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Раскрытие персональных данных </w:t>
      </w:r>
      <w:r w:rsidRPr="004B66C5">
        <w:t>- умышленное или случайное нарушение конфиденциальности персональных данных.</w:t>
      </w:r>
    </w:p>
    <w:p w14:paraId="42291688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Распространение персональных данных </w:t>
      </w:r>
      <w:r w:rsidRPr="004B66C5">
        <w:t>- действия, направленные на раскрытие персональных данных неопределенному кругу лиц.</w:t>
      </w:r>
    </w:p>
    <w:p w14:paraId="3D523713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Ресурс информационной системы </w:t>
      </w:r>
      <w:r w:rsidRPr="004B66C5">
        <w:t>- именованный элемент системного, прикладного или аппаратного обеспечения функционирования информационной системы.</w:t>
      </w:r>
    </w:p>
    <w:p w14:paraId="16179B50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Специальные категории персональных данных </w:t>
      </w:r>
      <w:r w:rsidRPr="004B66C5">
        <w:t>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14:paraId="22AE0383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Средства вычислительной техники </w:t>
      </w:r>
      <w:r w:rsidRPr="004B66C5">
        <w:t>- совокупность программных и тех</w:t>
      </w:r>
      <w:r w:rsidRPr="004B66C5">
        <w:softHyphen/>
        <w:t>нических элементов систем обработки данных, способных функционировать самостоятельно или в составе других систем.</w:t>
      </w:r>
    </w:p>
    <w:p w14:paraId="08C97BF4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Субъект доступа (субъект) </w:t>
      </w:r>
      <w:r w:rsidRPr="004B66C5">
        <w:t>- лицо или процесс, действия которого регламентируются правилами разграничения доступа.</w:t>
      </w:r>
    </w:p>
    <w:p w14:paraId="34A4FE6E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Технический канал утечки информации </w:t>
      </w:r>
      <w:r w:rsidRPr="004B66C5">
        <w:t>- совокупность носителя ин</w:t>
      </w:r>
      <w:r w:rsidRPr="004B66C5">
        <w:softHyphen/>
      </w:r>
      <w:r w:rsidRPr="004B66C5">
        <w:lastRenderedPageBreak/>
        <w:t>формации (средства обработки), физической среды распространения инфор</w:t>
      </w:r>
      <w:r w:rsidRPr="004B66C5">
        <w:softHyphen/>
        <w:t>мативного сигнала и средств, которыми добывается защищаемая информация.</w:t>
      </w:r>
    </w:p>
    <w:p w14:paraId="38C1A40B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Трансграничная передача персональных данных </w:t>
      </w:r>
      <w:r w:rsidRPr="004B66C5">
        <w:t>-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14:paraId="77BF0AEA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Угрозы безопасности персональных данных </w:t>
      </w:r>
      <w:r w:rsidRPr="004B66C5">
        <w:t>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14:paraId="7712B9CD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Уничтожение персональных данных </w:t>
      </w:r>
      <w:r w:rsidRPr="004B66C5">
        <w:t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46EE4FC" w14:textId="77777777" w:rsidR="00255C5F" w:rsidRPr="004B66C5" w:rsidRDefault="00255C5F" w:rsidP="00255C5F">
      <w:pPr>
        <w:pStyle w:val="ac"/>
      </w:pPr>
      <w:bookmarkStart w:id="3" w:name="bookmark4"/>
      <w:r w:rsidRPr="004B66C5">
        <w:rPr>
          <w:b/>
        </w:rPr>
        <w:t>Утечка (защищаемой) информации по техническим каналам</w:t>
      </w:r>
      <w:r w:rsidRPr="004B66C5">
        <w:t xml:space="preserve"> -</w:t>
      </w:r>
      <w:bookmarkEnd w:id="3"/>
      <w:r w:rsidRPr="004B66C5">
        <w:t xml:space="preserve"> неконтролируемое распространение информации от носителя защищаемой инфор</w:t>
      </w:r>
      <w:r w:rsidRPr="004B66C5">
        <w:softHyphen/>
        <w:t>мации через физическую среду до технического средства, осуществляющего перехват информации.</w:t>
      </w:r>
    </w:p>
    <w:p w14:paraId="4D536699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Уязвимость </w:t>
      </w:r>
      <w:r w:rsidRPr="004B66C5">
        <w:t>- слабость в средствах защиты, которую можно использовать для нарушения системы или содержащейся в ней информации.</w:t>
      </w:r>
    </w:p>
    <w:p w14:paraId="1393C743" w14:textId="77777777" w:rsidR="00255C5F" w:rsidRPr="004B66C5" w:rsidRDefault="00255C5F" w:rsidP="00255C5F">
      <w:pPr>
        <w:pStyle w:val="ac"/>
      </w:pPr>
      <w:r w:rsidRPr="004B66C5">
        <w:rPr>
          <w:rStyle w:val="23"/>
          <w:rFonts w:eastAsia="Arial Unicode MS"/>
          <w:szCs w:val="28"/>
        </w:rPr>
        <w:t xml:space="preserve">Целостность информации </w:t>
      </w:r>
      <w:r w:rsidRPr="004B66C5">
        <w:t>- способность средства вычислительной тех</w:t>
      </w:r>
      <w:r w:rsidRPr="004B66C5">
        <w:softHyphen/>
        <w:t>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14:paraId="599CC168" w14:textId="77777777" w:rsidR="005611FF" w:rsidRPr="00255C5F" w:rsidRDefault="005611FF">
      <w:pPr>
        <w:rPr>
          <w:lang w:val="ru-RU"/>
        </w:rPr>
      </w:pPr>
    </w:p>
    <w:sectPr w:rsidR="005611FF" w:rsidRPr="0025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DF"/>
    <w:rsid w:val="001569CB"/>
    <w:rsid w:val="00255C5F"/>
    <w:rsid w:val="005611FF"/>
    <w:rsid w:val="00B341DF"/>
    <w:rsid w:val="00C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3DF5F-4868-4868-AFFD-94C7D189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5C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B341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1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1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1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1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1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1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1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1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4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41D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41D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41D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41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41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41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41D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41D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 w:eastAsia="en-US"/>
    </w:rPr>
  </w:style>
  <w:style w:type="character" w:customStyle="1" w:styleId="a4">
    <w:name w:val="Заголовок Знак"/>
    <w:basedOn w:val="a0"/>
    <w:link w:val="a3"/>
    <w:uiPriority w:val="10"/>
    <w:rsid w:val="00B3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1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B341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41DF"/>
    <w:pPr>
      <w:spacing w:before="160" w:after="160" w:line="259" w:lineRule="auto"/>
      <w:jc w:val="center"/>
    </w:pPr>
    <w:rPr>
      <w:rFonts w:ascii="Liberation Serif" w:eastAsiaTheme="minorHAnsi" w:hAnsi="Liberation Serif" w:cstheme="minorBidi"/>
      <w:i/>
      <w:iCs/>
      <w:color w:val="404040" w:themeColor="text1" w:themeTint="BF"/>
      <w:sz w:val="22"/>
      <w:szCs w:val="22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B341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41DF"/>
    <w:pPr>
      <w:spacing w:after="160" w:line="259" w:lineRule="auto"/>
      <w:ind w:left="720"/>
      <w:contextualSpacing/>
    </w:pPr>
    <w:rPr>
      <w:rFonts w:ascii="Liberation Serif" w:eastAsiaTheme="minorHAnsi" w:hAnsi="Liberation Serif" w:cstheme="minorBidi"/>
      <w:color w:val="auto"/>
      <w:sz w:val="22"/>
      <w:szCs w:val="22"/>
      <w:lang w:val="ru-RU" w:eastAsia="en-US"/>
    </w:rPr>
  </w:style>
  <w:style w:type="character" w:styleId="a8">
    <w:name w:val="Intense Emphasis"/>
    <w:basedOn w:val="a0"/>
    <w:uiPriority w:val="21"/>
    <w:qFormat/>
    <w:rsid w:val="00B341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4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Liberation Serif" w:eastAsiaTheme="minorHAnsi" w:hAnsi="Liberation Serif" w:cstheme="minorBidi"/>
      <w:i/>
      <w:iCs/>
      <w:color w:val="2F5496" w:themeColor="accent1" w:themeShade="BF"/>
      <w:sz w:val="22"/>
      <w:szCs w:val="22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341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41DF"/>
    <w:rPr>
      <w:b/>
      <w:bCs/>
      <w:smallCaps/>
      <w:color w:val="2F5496" w:themeColor="accent1" w:themeShade="BF"/>
      <w:spacing w:val="5"/>
    </w:rPr>
  </w:style>
  <w:style w:type="character" w:customStyle="1" w:styleId="31">
    <w:name w:val="Основной текст (3)_"/>
    <w:link w:val="32"/>
    <w:rsid w:val="00255C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link w:val="42"/>
    <w:rsid w:val="00255C5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55C5F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42">
    <w:name w:val="Основной текст (4)"/>
    <w:basedOn w:val="a"/>
    <w:link w:val="41"/>
    <w:rsid w:val="00255C5F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c">
    <w:name w:val="No Spacing"/>
    <w:uiPriority w:val="1"/>
    <w:qFormat/>
    <w:rsid w:val="00255C5F"/>
    <w:pPr>
      <w:widowControl w:val="0"/>
      <w:tabs>
        <w:tab w:val="left" w:pos="709"/>
      </w:tabs>
      <w:spacing w:before="120" w:after="0" w:line="264" w:lineRule="auto"/>
      <w:ind w:firstLine="709"/>
      <w:contextualSpacing/>
      <w:jc w:val="both"/>
    </w:pPr>
    <w:rPr>
      <w:rFonts w:eastAsia="Arial Unicode MS" w:cs="Arial Unicode MS"/>
      <w:color w:val="000000"/>
      <w:sz w:val="28"/>
      <w:szCs w:val="24"/>
      <w:lang w:eastAsia="ru-RU" w:bidi="ru-RU"/>
    </w:rPr>
  </w:style>
  <w:style w:type="character" w:customStyle="1" w:styleId="23">
    <w:name w:val="Основной текст (2) + Полужирный"/>
    <w:rsid w:val="00255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1929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2025-03-06T10:25:00Z</dcterms:created>
  <dcterms:modified xsi:type="dcterms:W3CDTF">2025-03-06T10:26:00Z</dcterms:modified>
</cp:coreProperties>
</file>