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8/27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tabs>
          <w:tab w:val="left" w:pos="5812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О  </w:t>
      </w:r>
      <w:r>
        <w:rPr>
          <w:rFonts w:cs="Times New Roman" w:ascii="Liberation Serif" w:hAnsi="Liberation Serif"/>
          <w:b/>
          <w:bCs/>
          <w:color w:val="auto"/>
          <w:sz w:val="28"/>
          <w:szCs w:val="24"/>
        </w:rPr>
        <w:t xml:space="preserve">Плане Рабочей группы по информационным спорам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и иным вопросам информационного обеспечения выборов</w:t>
      </w:r>
      <w:r>
        <w:rPr>
          <w:rFonts w:cs="Times New Roman" w:ascii="Liberation Serif" w:hAnsi="Liberation Serif"/>
          <w:b/>
          <w:bCs/>
          <w:color w:val="auto"/>
          <w:sz w:val="28"/>
          <w:szCs w:val="24"/>
        </w:rPr>
        <w:t xml:space="preserve"> при  Таборинской районной территориальной избирательной комиссии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 на период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6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auto"/>
          <w:sz w:val="28"/>
        </w:rPr>
        <w:t xml:space="preserve">В соответствии с Федеральным законом </w:t>
      </w:r>
      <w:r>
        <w:rPr>
          <w:rFonts w:cs="Liberation Serif" w:ascii="Liberation Serif" w:hAnsi="Liberation Serif"/>
          <w:color w:val="auto"/>
          <w:sz w:val="28"/>
        </w:rPr>
        <w:t>«О выборах депутатов Государственной Думы Федерального Собрания Российской Федерации», Заслушав  и  обсудив проект Плана работы</w:t>
      </w:r>
      <w:r>
        <w:rPr>
          <w:rFonts w:cs="Liberation Serif" w:ascii="Liberation Serif" w:hAnsi="Liberation Serif"/>
          <w:b/>
          <w:color w:val="auto"/>
          <w:sz w:val="28"/>
          <w:szCs w:val="24"/>
        </w:rPr>
        <w:t xml:space="preserve"> </w:t>
      </w:r>
      <w:r>
        <w:rPr>
          <w:rFonts w:cs="Liberation Serif" w:ascii="Liberation Serif" w:hAnsi="Liberation Serif"/>
          <w:color w:val="auto"/>
          <w:sz w:val="28"/>
          <w:szCs w:val="24"/>
        </w:rPr>
        <w:t xml:space="preserve">Рабочей группы по информационным спорам </w:t>
      </w:r>
      <w:r>
        <w:rPr>
          <w:rFonts w:cs="Liberation Serif" w:ascii="Liberation Serif" w:hAnsi="Liberation Serif"/>
          <w:color w:val="auto"/>
          <w:sz w:val="28"/>
        </w:rPr>
        <w:t>и иным вопросам информационного обеспечения выборов</w:t>
      </w:r>
      <w:r>
        <w:rPr>
          <w:rFonts w:cs="Liberation Serif" w:ascii="Liberation Serif" w:hAnsi="Liberation Serif"/>
          <w:color w:val="auto"/>
          <w:sz w:val="28"/>
          <w:szCs w:val="24"/>
        </w:rPr>
        <w:t xml:space="preserve"> при  Таборинской районной территориальной избирательной комиссии</w:t>
      </w:r>
      <w:r>
        <w:rPr>
          <w:rFonts w:cs="Liberation Serif" w:ascii="Liberation Serif" w:hAnsi="Liberation Serif"/>
          <w:color w:val="auto"/>
          <w:sz w:val="28"/>
        </w:rPr>
        <w:t xml:space="preserve"> в период подготовки и проведения</w:t>
      </w:r>
      <w:r>
        <w:rPr>
          <w:rFonts w:cs="Times New Roman" w:ascii="Liberation Serif" w:hAnsi="Liberation Serif"/>
          <w:color w:val="auto"/>
          <w:sz w:val="28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cs="Times New Roman" w:ascii="Liberation Serif" w:hAnsi="Liberation Serif"/>
          <w:color w:val="auto"/>
          <w:sz w:val="28"/>
        </w:rPr>
        <w:t xml:space="preserve">, </w:t>
      </w:r>
      <w:r>
        <w:rPr>
          <w:rFonts w:ascii="Liberation Serif" w:hAnsi="Liberation Serif"/>
        </w:rPr>
        <w:t xml:space="preserve">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 w:val="false"/>
          <w:bCs/>
          <w:color w:val="auto"/>
          <w:sz w:val="28"/>
          <w:szCs w:val="28"/>
        </w:rPr>
        <w:t>Утвердить план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4"/>
        </w:rPr>
        <w:t xml:space="preserve"> работы Рабочей группы по информационным спорам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и иным вопросам информационного обеспечения выборов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4"/>
        </w:rPr>
        <w:t xml:space="preserve"> при  Таборинской районной территориальной избирательной комиссии</w:t>
      </w:r>
      <w:r>
        <w:rPr>
          <w:rFonts w:cs="Times New Roman" w:ascii="Liberation Serif" w:hAnsi="Liberation Serif"/>
          <w:b w:val="false"/>
          <w:bCs/>
          <w:color w:val="auto"/>
          <w:sz w:val="28"/>
          <w:szCs w:val="28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на период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ascii="Liberation Serif" w:hAnsi="Liberation Serif"/>
          <w:bCs/>
        </w:rPr>
        <w:t xml:space="preserve"> (прилагается).</w:t>
      </w:r>
    </w:p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Разместить настоящее решение на сайте Таборинской районной территориальной избирательной комиссии.</w:t>
      </w:r>
    </w:p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w="11906" w:h="16838"/>
          <w:pgMar w:left="1588" w:right="794" w:header="709" w:top="1134" w:footer="0" w:bottom="1247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left="4962" w:hanging="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Приложение к решению Таборинской районной территориальной избирательной комиссии от 29.06.2019 г. № 8/27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План работы 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</w:rPr>
        <w:t xml:space="preserve">на период подготовки и проведения 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Pa2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В целях реализации полномочий 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избирателей, порядка и правил ведения предвыборной агитации, организации работы по сбору и систематизации материалов о нарушениях избирательного законода</w:t>
        <w:softHyphen/>
        <w:t xml:space="preserve">тельства, рассмотрению обращений, поступивших в избирательную комиссию и касающихся нарушений законодательства при ведении предвыборной агитации, работа Рабочей группы при взаимодействии с Контрольно-ревизионной службой при Таборинской районной территориальной избирательной комиссии в период проведения выборов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ascii="Liberation Serif" w:hAnsi="Liberation Serif"/>
          <w:color w:val="000000"/>
          <w:sz w:val="28"/>
          <w:szCs w:val="28"/>
        </w:rPr>
        <w:t xml:space="preserve"> (далее – вы</w:t>
        <w:softHyphen/>
        <w:t>боры) ведется по следующим направлениям.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1. Мониторинг предвыборной агитации в средствах массовой информации (далее – СМИ), а также печатных и иных агитационных материалов: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2.1. проведение анализа информационных материалов, связанных с подготовкой и проведением вы</w:t>
        <w:softHyphen/>
        <w:t>боров, в том числе публикаций результатов опросов общественного мнения;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2.2. мониторинг публикаций, касающихся подготовки и проведения выборов, периодических печат</w:t>
        <w:softHyphen/>
        <w:t>ных изданий, проводимый во взаимодействии с Контрольно-ревизионной службой.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3. Взаимодействие Рабочей группы с государственными органами, органами местного самоуправле</w:t>
        <w:softHyphen/>
        <w:t>ния, правоохранительными органами, редакциями периодических печатных изданий: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3.1. рассмотрение и анализ сведений и материалов, поступивших в ответ на запросы Рабочей группы, от государственных органов и органов местного самоуправления, их должностных лиц, правоохрани</w:t>
        <w:softHyphen/>
        <w:t>тельных органов, редакций периодических печатных изданий, их глав</w:t>
        <w:softHyphen/>
        <w:t>ных редакторов.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4. Осуществление работы по выявлению нарушений порядка информирования избирателей, а также порядка и правил ведения предвыборной агитации, их рассмотрению и принятию соответствующих мер реагирования: 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4.1. предварительное рассмотрение на заседаниях Рабочей группы обращений о нарушениях избира</w:t>
        <w:softHyphen/>
        <w:t>тельного законодательства, касающихся порядка информирования избирателей, порядка и правил веде</w:t>
        <w:softHyphen/>
        <w:t>ния предвыборной агитации, и принятие по ним соответствующих заключений (решений);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4.2. рассмотрение на заседаниях Рабочей группы печатных и иных агитационных материалов, изго</w:t>
        <w:softHyphen/>
        <w:t>товленных с нарушениями избирательного законодательства, и подготовка соответствующих заключе</w:t>
        <w:softHyphen/>
        <w:t>ний по ним, а также анализ результатов мониторинга публикаций и программ региональных, муници</w:t>
        <w:softHyphen/>
        <w:t>пальных СМИ;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4.3. подготовка заключений по вопросам нарушения порядка и правил ведения предвыборной аги</w:t>
        <w:softHyphen/>
        <w:t>тации участниками избирательного процесса, на основании которых уполномоченными членами из</w:t>
        <w:softHyphen/>
        <w:t>бирательной комиссии могут быть составлены протоколы об административных правонарушениях, вы</w:t>
        <w:softHyphen/>
        <w:t xml:space="preserve">несены предупреждения нарушителям или определения об отказе в возбуждении административного производства, может быть принято решение о направлении материалов в правоохранительные органы; 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4.4. сбор и подготовка аналитических материалов о нарушениях избирательного законодательства, регулирующего порядок информирования избирателей и проведения предвыборной агитации, которые были допущены кандидатами, избирательными объединениями, редакциями периодических печатных изданий, иными лицами в ходе избирательных кампаний;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4.5. доведение до сведения Избирательной комиссии Свердловской области информации о выявленных нарушениях и внесение предло</w:t>
        <w:softHyphen/>
        <w:t>жений по направлению на основании заключений Рабочей группы соответствующих писем, принятию решений избирательной комиссии.</w:t>
      </w:r>
    </w:p>
    <w:p>
      <w:pPr>
        <w:pStyle w:val="Normal"/>
        <w:tabs>
          <w:tab w:val="left" w:pos="700" w:leader="none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5. Контроль предоставления собственниками </w:t>
      </w:r>
      <w:r>
        <w:rPr>
          <w:rFonts w:ascii="Liberation Serif" w:hAnsi="Liberation Serif"/>
        </w:rPr>
        <w:t xml:space="preserve">и владельцами помещений, находящихся в государственной или муниципальной собственности, либо  в собственности организаций, имеющих на день официального опубликования (публикации) решения о назначении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ascii="Liberation Serif" w:hAnsi="Liberation Serif"/>
        </w:rPr>
        <w:t xml:space="preserve"> 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уведомлений  в письменной форме о факте предоставления помещения зарегистрированному кандидату, доверенным лицам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  <w:p>
      <w:pPr>
        <w:pStyle w:val="Normal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</w:r>
    </w:p>
    <w:p>
      <w:pPr>
        <w:pStyle w:val="Pa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Основные вопросы, рассматриваемые на заседаниях Рабочей группы </w:t>
      </w:r>
    </w:p>
    <w:p>
      <w:pPr>
        <w:pStyle w:val="Pa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 информационным спорам и иным вопросам информационного </w:t>
      </w:r>
    </w:p>
    <w:p>
      <w:pPr>
        <w:pStyle w:val="Pa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обеспечения выборов при Таборинской районной территориальной избирательной комиссии в период проведения 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Pa3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Июнь 2019 года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О плане работы Рабочей группы по информационным спорам и иным вопросам информационного обеспечения выборов при Таборинской районной территориальной избирательной комиссии в период проведе</w:t>
        <w:softHyphen/>
        <w:t xml:space="preserve">ния 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174.</w:t>
      </w:r>
    </w:p>
    <w:p>
      <w:pPr>
        <w:pStyle w:val="Pa2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Июль 2019года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  <w:softHyphen/>
        <w:t xml:space="preserve">лей, правилами ведения предвыборной агитации на территории муниципального образования в период проведения 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  <w:softHyphen/>
        <w:t xml:space="preserve">вания избирателей, порядка и правил ведения предвыборной агитации. 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Информация о результатах мониторинга публикаций муниципальных периодических печатных изда</w:t>
        <w:softHyphen/>
        <w:t>ний.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Информация о публичных агитационных мероприятиях, проведенных на территории Таборинского муниципального района в период проведения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 xml:space="preserve"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О предоставлении уведомлений  в письменной форме о факте предоставления помещения зарегистрированному кандидату, доверенным лицам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 на 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 подготовке проектов решений: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О согласовании мест размещения агитационных печатных материалов и информационных материалов избирательной комиссии в период подготовки и проведения 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О согласовании перечня находящихся в муниципальной собственности помещений, пригодных для проведения агитационных публичных мероприятий в форме собраний, и безвозмездно предоставляемых зарегистрированным кандидатам для встреч с избирателями в период избирательной кампании на </w:t>
      </w:r>
      <w:r>
        <w:rPr>
          <w:rFonts w:ascii="Liberation Serif" w:hAnsi="Liberation Serif"/>
          <w:bCs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ind w:firstLine="709"/>
        <w:jc w:val="both"/>
        <w:rPr>
          <w:rFonts w:ascii="Liberation Serif" w:hAnsi="Liberation Serif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</w:rPr>
        <w:t xml:space="preserve">Август 2019 года </w:t>
      </w:r>
    </w:p>
    <w:p>
      <w:pPr>
        <w:pStyle w:val="Pa2"/>
        <w:tabs>
          <w:tab w:val="left" w:pos="0" w:leader="none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О предоставлении уведомлений  в письменной форме о факте предоставления помещения зарегистрированному кандидату, доверенным лицам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 на 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Pa2"/>
        <w:tabs>
          <w:tab w:val="left" w:pos="0" w:leader="none"/>
        </w:tabs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</w:t>
      </w:r>
      <w:r>
        <w:rPr>
          <w:rFonts w:cs="Times New Roman" w:ascii="Liberation Serif" w:hAnsi="Liberation Serif"/>
          <w:b w:val="false"/>
          <w:bCs/>
          <w:color w:val="000000"/>
          <w:sz w:val="28"/>
          <w:szCs w:val="28"/>
        </w:rPr>
        <w:t xml:space="preserve"> </w:t>
      </w:r>
      <w:bookmarkStart w:id="0" w:name="__DdeLink__530_1116524908"/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bookmarkEnd w:id="0"/>
    </w:p>
    <w:p>
      <w:pPr>
        <w:pStyle w:val="Pa2"/>
        <w:tabs>
          <w:tab w:val="left" w:pos="0" w:leader="none"/>
        </w:tabs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>Информация о деятельности по осуществлению контроля за соблюдением порядка информирования избирателей, порядка и правил ведения предвыборной агитации на территории муниципального обра</w:t>
        <w:softHyphen/>
        <w:t xml:space="preserve">зования в период проведения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>, в том числе: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/>
          <w:color w:val="000000"/>
          <w:sz w:val="28"/>
          <w:szCs w:val="28"/>
        </w:rPr>
        <w:t>итоговая информация о мониторинге публикаций муниципальных периодических печатных изда</w:t>
        <w:softHyphen/>
        <w:t>ний и программ (сюжетов) организаций телерадиовещания,</w:t>
      </w:r>
    </w:p>
    <w:p>
      <w:pPr>
        <w:pStyle w:val="Pa2"/>
        <w:tabs>
          <w:tab w:val="left" w:pos="0" w:leader="none"/>
        </w:tabs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–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>итоговая информация о публичных агитационных мероприятиях, проведенных на территории му</w:t>
        <w:softHyphen/>
        <w:t>ниципального образования.</w:t>
      </w:r>
    </w:p>
    <w:p>
      <w:pPr>
        <w:pStyle w:val="Pa2"/>
        <w:tabs>
          <w:tab w:val="left" w:pos="0" w:leader="none"/>
        </w:tabs>
        <w:ind w:firstLine="709"/>
        <w:jc w:val="both"/>
        <w:rPr>
          <w:rFonts w:ascii="Liberation Serif" w:hAnsi="Liberation Serif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</w:rPr>
        <w:t>Сентябрь 2019 года</w:t>
      </w:r>
    </w:p>
    <w:p>
      <w:pPr>
        <w:pStyle w:val="Pa2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  <w:softHyphen/>
        <w:t xml:space="preserve">вания избирателей, порядка и правил ведения предвыборной агитации. 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Информация о нарушениях порядка и правил ведения предвыборной агитации, выявленных в ходе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174,</w:t>
      </w:r>
      <w:r>
        <w:rPr>
          <w:rFonts w:ascii="Liberation Serif" w:hAnsi="Liberation Serif"/>
          <w:color w:val="000000"/>
          <w:sz w:val="28"/>
          <w:szCs w:val="28"/>
        </w:rPr>
        <w:t xml:space="preserve"> в том числе: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/>
          <w:color w:val="000000"/>
          <w:sz w:val="28"/>
          <w:szCs w:val="28"/>
        </w:rPr>
        <w:t>итоговая информация о количестве выявленных нарушений избирательного законодательства,</w:t>
      </w:r>
    </w:p>
    <w:p>
      <w:pPr>
        <w:pStyle w:val="Pa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/>
          <w:color w:val="000000"/>
          <w:sz w:val="28"/>
          <w:szCs w:val="28"/>
        </w:rPr>
        <w:t xml:space="preserve">сведения о привлечении к административной ответственности за правонарушения, совершенные при проведении агитации на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4"/>
      <w:headerReference w:type="first" r:id="rId5"/>
      <w:type w:val="nextPage"/>
      <w:pgSz w:w="11906" w:h="16838"/>
      <w:pgMar w:left="1418" w:right="851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Normal"/>
    <w:qFormat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6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7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8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0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1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2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3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4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5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6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4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5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6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7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8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1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2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3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Pa2">
    <w:name w:val="Pa2"/>
    <w:basedOn w:val="Normal"/>
    <w:qFormat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>
    <w:name w:val="Pa0"/>
    <w:basedOn w:val="Normal"/>
    <w:qFormat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>
    <w:name w:val="Pa3"/>
    <w:basedOn w:val="Normal"/>
    <w:qFormat/>
    <w:pPr>
      <w:spacing w:lineRule="atLeast" w:line="221"/>
      <w:jc w:val="left"/>
    </w:pPr>
    <w:rPr>
      <w:rFonts w:ascii="Calibri" w:hAnsi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152</TotalTime>
  <Application>LibreOffice/6.0.7.3$Linux_x86 LibreOffice_project/00m0$Build-3</Application>
  <Pages>7</Pages>
  <Words>1510</Words>
  <Characters>12311</Characters>
  <CharactersWithSpaces>13824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2019-07-01T14:08:48Z</dcterms:modified>
  <cp:revision>21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