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8/26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tabs>
          <w:tab w:val="left" w:pos="5812" w:leader="none"/>
        </w:tabs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 xml:space="preserve">О  </w:t>
      </w:r>
      <w:r>
        <w:rPr>
          <w:rFonts w:ascii="Liberation Serif" w:hAnsi="Liberation Serif"/>
          <w:b/>
          <w:szCs w:val="24"/>
        </w:rPr>
        <w:t xml:space="preserve">Плане работы Контрольно-ревизионной службы при Таборинской районной территориальной избирательной комиссии </w:t>
      </w:r>
      <w:r>
        <w:rPr>
          <w:rFonts w:ascii="Liberation Serif" w:hAnsi="Liberation Serif"/>
          <w:b/>
        </w:rPr>
        <w:t xml:space="preserve">на период подготовки и проведения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6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auto"/>
          <w:sz w:val="28"/>
        </w:rPr>
        <w:t xml:space="preserve">В соответствии с Федеральным законом </w:t>
      </w:r>
      <w:r>
        <w:rPr>
          <w:rFonts w:cs="Liberation Serif" w:ascii="Liberation Serif" w:hAnsi="Liberation Serif"/>
          <w:color w:val="auto"/>
          <w:sz w:val="28"/>
        </w:rPr>
        <w:t>«О выборах депутатов Государственной Думы Федерального Собрания Российской Федерации», з</w:t>
      </w:r>
      <w:r>
        <w:rPr>
          <w:rFonts w:cs="Times New Roman" w:ascii="Liberation Serif" w:hAnsi="Liberation Serif"/>
          <w:color w:val="auto"/>
          <w:sz w:val="28"/>
        </w:rPr>
        <w:t xml:space="preserve">аслушав и обсудив проект Плана работы Контрольно-ревизионной службы при Таборинской районной территориальной избирательной комиссии в период подготовки и проведения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cs="Times New Roman" w:ascii="Liberation Serif" w:hAnsi="Liberation Serif"/>
          <w:color w:val="auto"/>
          <w:sz w:val="28"/>
        </w:rPr>
        <w:t>, представленный заместителем председателя Комиссии Горбачевой О.В.</w:t>
      </w:r>
      <w:r>
        <w:rPr>
          <w:rFonts w:ascii="Liberation Serif" w:hAnsi="Liberation Serif"/>
          <w:color w:val="auto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Утвердить план работы </w:t>
      </w:r>
      <w:r>
        <w:rPr>
          <w:rFonts w:ascii="Liberation Serif" w:hAnsi="Liberation Serif"/>
        </w:rPr>
        <w:t xml:space="preserve">Контрольно-ревизионной службы при  Таборинской районной территориальной избирательной комиссии на период подготовки и проведения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ascii="Liberation Serif" w:hAnsi="Liberation Serif"/>
          <w:bCs/>
        </w:rPr>
        <w:t xml:space="preserve"> (прилагается).</w:t>
      </w:r>
    </w:p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Разместить настоящее решение на сайте Таборинской районной территориальной избирательной комиссии.</w:t>
      </w:r>
    </w:p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w="11906" w:h="16838"/>
          <w:pgMar w:left="1588" w:right="794" w:header="709" w:top="1134" w:footer="0" w:bottom="1247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left="5387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к решению Таборинской районной территориальной избирательной комиссии от 29.06.2019 г. № 8/26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ПЛАН</w:t>
      </w:r>
    </w:p>
    <w:p>
      <w:pPr>
        <w:pStyle w:val="Style1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работы  контрольно-ревизионной службы при Таборинской районной территориальной избирательной комиссии на период подготовки и проведения </w:t>
      </w:r>
      <w:r>
        <w:rPr>
          <w:rFonts w:ascii="Liberation Serif" w:hAnsi="Liberation Serif"/>
          <w:bCs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4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5"/>
        <w:gridCol w:w="4819"/>
        <w:gridCol w:w="1928"/>
        <w:gridCol w:w="2126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№ </w:t>
            </w:r>
            <w:r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Наименование мероприятий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Ответственные 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 исполнение</w:t>
            </w:r>
          </w:p>
          <w:p>
            <w:pPr>
              <w:pStyle w:val="Normal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</w:r>
          </w:p>
        </w:tc>
      </w:tr>
    </w:tbl>
    <w:p>
      <w:pPr>
        <w:pStyle w:val="Normal"/>
        <w:rPr>
          <w:rFonts w:ascii="Liberation Serif" w:hAnsi="Liberation Serif"/>
          <w:sz w:val="2"/>
        </w:rPr>
      </w:pPr>
      <w:r>
        <w:rPr>
          <w:rFonts w:ascii="Liberation Serif" w:hAnsi="Liberation Serif"/>
          <w:sz w:val="2"/>
        </w:rPr>
      </w:r>
    </w:p>
    <w:tbl>
      <w:tblPr>
        <w:tblW w:w="94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1"/>
        <w:gridCol w:w="4765"/>
        <w:gridCol w:w="1901"/>
        <w:gridCol w:w="2134"/>
      </w:tblGrid>
      <w:tr>
        <w:trPr>
          <w:tblHeader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>
        <w:trPr>
          <w:trHeight w:val="106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Проведение  организационного заседания КРС, распределение обязанностей между членами КРС, формирование рабочих групп по основным направлениям деятельности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pacing w:before="240" w:after="60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b w:val="false"/>
                <w:sz w:val="24"/>
                <w:szCs w:val="24"/>
              </w:rPr>
              <w:t>июнь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Проведение обучающего занятия с членами  КРС при территориальной избирательной комиссии по вопросам организации работы в период подготовки и проведения </w:t>
            </w:r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июль-сентябрь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Закревская Л.М.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Участие членов КРС в распределении средств и составлении проектов смет расходования денежных средств УИК на подготовку и проведение выборов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июнь-июль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Организация проверок по поручению ИК СО  законности пожертвований в избирательные фонды кандидатов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июль-сентябрь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Подготовка пакета финансовых документов для участковых избирательных комиссий 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(графики, сведений, расчет начисленной дополнительной оплаты, первичные документы  бухгалтерского учета)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июль-август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Горбачева О.В. 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Подготовка и проведение семинара с председателями участковых избирательных комиссий  по вопросам обеспечения финансирования подготовки и проведения </w:t>
            </w:r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Закревская Л.М.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Организация проверок  расходования средств федерального бюджета, выделенных территориальной и участковым избирательным комиссиям на подготовку и проведение </w:t>
            </w:r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август-сентябрь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Проведение заседаний КРС по обсуждению результатов проверок и подготовка заключения по результатам для рассмотрения на заседании избирательной комиссии.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По мере необходимости в течение всего периода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Прием финансовых отчетов участковых избирательных комиссия о расходовании средств федерального бюджета, выделенных на подготовку и проведение </w:t>
            </w:r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С 10 по 13 сентября 2019 года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О.В., члены КРС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Проверка финансовых отчетов участковых избирательных комиссия о расходовании средств, выделенных на подготовку и проведение </w:t>
            </w:r>
            <w:bookmarkStart w:id="0" w:name="__DdeLink__613_549599550"/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bookmarkEnd w:id="0"/>
            <w:r>
              <w:rPr>
                <w:rFonts w:ascii="Liberation Serif" w:hAnsi="Liberation Serif"/>
                <w:sz w:val="24"/>
                <w:szCs w:val="24"/>
              </w:rPr>
              <w:t xml:space="preserve"> Подготовка  заключения о результатах проверки для ТИК.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С 10 по 16 сентября 2019 года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11.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Подготовка сводного финансового отчета о расходовании средств, выделенных Таборинской РТИК на подготовку и проведение </w:t>
            </w:r>
            <w:r>
              <w:rPr>
                <w:rFonts w:cs="Times New Roman"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      </w:r>
            <w:r>
              <w:rPr>
                <w:rFonts w:ascii="Liberation Serif" w:hAnsi="Liberation Serif"/>
                <w:sz w:val="24"/>
              </w:rPr>
              <w:t xml:space="preserve"> и представление на утверждение на заседании ТИК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До 16.09.2019 г.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Закревская Л.М.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12.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Рассмотрение  заявлений и жалоб по вопросам финансирования избирательной кампании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август-сентябрь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Участие в заседаниях Рабочей группы ТИК по информационным спорам по вопросам, входящим в компетенцию КРС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июль-сентябрь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Закревская Л.М.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Проведение заседаний Контрольно-ревизионной службы при Таборинской районной территориальной избирательной комиссии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Не менее 1 раза в месяц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Горбачева О.В.</w:t>
            </w:r>
          </w:p>
        </w:tc>
      </w:tr>
    </w:tbl>
    <w:p>
      <w:pPr>
        <w:pStyle w:val="Normal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p>
      <w:pPr>
        <w:pStyle w:val="Normal"/>
        <w:spacing w:lineRule="auto" w:line="36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5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auto"/>
        </w:rPr>
        <w:t>Руководитель КРС                                 О.В.Горбачева</w:t>
      </w:r>
    </w:p>
    <w:sectPr>
      <w:headerReference w:type="default" r:id="rId4"/>
      <w:headerReference w:type="first" r:id="rId5"/>
      <w:type w:val="nextPage"/>
      <w:pgSz w:w="11906" w:h="16838"/>
      <w:pgMar w:left="1418" w:right="851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Normal"/>
    <w:qFormat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6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7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8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0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1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2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3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4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5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6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4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5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6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7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8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1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2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3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141</TotalTime>
  <Application>LibreOffice/6.0.7.3$Linux_x86 LibreOffice_project/00m0$Build-3</Application>
  <Pages>5</Pages>
  <Words>724</Words>
  <Characters>5675</Characters>
  <CharactersWithSpaces>6378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2019-07-01T14:08:18Z</dcterms:modified>
  <cp:revision>20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