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2"/>
        <w:gridCol w:w="1445"/>
        <w:gridCol w:w="4064"/>
      </w:tblGrid>
      <w:tr>
        <w:trPr/>
        <w:tc>
          <w:tcPr>
            <w:tcW w:w="4062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>
                <w:rFonts w:ascii="Liberation Serif" w:hAnsi="Liberation Serif"/>
              </w:rPr>
              <w:t xml:space="preserve">24 августа 2019 г. 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/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12/5</w:t>
            </w:r>
            <w:r>
              <w:rPr>
                <w:rFonts w:ascii="Liberation Serif" w:hAnsi="Liberation Serif"/>
              </w:rPr>
              <w:t>1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b/>
          <w:bCs/>
          <w:color w:val="auto"/>
          <w:sz w:val="28"/>
          <w:szCs w:val="28"/>
        </w:rPr>
        <w:t>О назначении ответственных за видеонаблюдение в территориальной избирательной комиссии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</w:rPr>
        <w:t xml:space="preserve">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 xml:space="preserve">Руководствуясь пунктом 3.5 Порядка применения средств видеонаблюдения и трансляции изображения, трансляции изображения в сети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И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 xml:space="preserve">нтернет, а также хранения соответствующих видеозаписей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при проведении дополнительных выборов депутата Государственной Думы Федерального Собрания Российской Федерации седьмого созыва по одномандатным избирательным округам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от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18.07.2018 г. № 168/1386-7</w:t>
      </w:r>
      <w:r>
        <w:rPr>
          <w:rFonts w:ascii="Liberation Serif" w:hAnsi="Liberation Serif"/>
          <w:b w:val="false"/>
          <w:bCs w:val="false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>1. Назначить  членов комиссии с правом решающего голоса для осуществления работы со средствами видеонаблюдения в территориальной избирательной комиссии: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/>
        <w:t>- Владимирова Валентина Александровна;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>- Григорчук Ирина Викторовна.</w:t>
      </w:r>
      <w:r>
        <w:rPr/>
        <w:t xml:space="preserve">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360"/>
        <w:ind w:left="0" w:right="0" w:firstLine="794"/>
        <w:jc w:val="both"/>
        <w:rPr/>
      </w:pPr>
      <w:r>
        <w:rPr/>
        <w:t>2. Контроль за выполнением настоящего решения возложить на секретаря избирательной комиссии Владимирову В.А.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Л.М.Закревская</w:t>
            </w:r>
          </w:p>
        </w:tc>
      </w:tr>
      <w:tr>
        <w:trPr>
          <w:trHeight w:val="1262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ind w:left="595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5954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710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2pt;margin-top:0.05pt;width:7.2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  <w:sz w:val="24"/>
    </w:rPr>
  </w:style>
  <w:style w:type="character" w:styleId="ListLabel21">
    <w:name w:val="ListLabel 21"/>
    <w:qFormat/>
    <w:rPr>
      <w:b/>
      <w:sz w:val="24"/>
    </w:rPr>
  </w:style>
  <w:style w:type="character" w:styleId="ListLabel22">
    <w:name w:val="ListLabel 22"/>
    <w:qFormat/>
    <w:rPr>
      <w:b/>
      <w:sz w:val="24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rFonts w:ascii="Liberation Serif" w:hAnsi="Liberation Serif"/>
      <w:b/>
      <w:sz w:val="24"/>
    </w:rPr>
  </w:style>
  <w:style w:type="character" w:styleId="ListLabel26">
    <w:name w:val="ListLabel 26"/>
    <w:qFormat/>
    <w:rPr>
      <w:rFonts w:ascii="Liberation Serif" w:hAnsi="Liberation Serif"/>
      <w:b/>
      <w:sz w:val="24"/>
    </w:rPr>
  </w:style>
  <w:style w:type="character" w:styleId="ListLabel27">
    <w:name w:val="ListLabel 27"/>
    <w:qFormat/>
    <w:rPr>
      <w:rFonts w:ascii="Liberation Serif" w:hAnsi="Liberation Serif"/>
      <w:b/>
      <w:sz w:val="24"/>
    </w:rPr>
  </w:style>
  <w:style w:type="character" w:styleId="ListLabel28">
    <w:name w:val="ListLabel 28"/>
    <w:qFormat/>
    <w:rPr>
      <w:rFonts w:ascii="Liberation Serif" w:hAnsi="Liberation Serif"/>
      <w:b/>
      <w:sz w:val="24"/>
    </w:rPr>
  </w:style>
  <w:style w:type="character" w:styleId="ListLabel29">
    <w:name w:val="ListLabel 29"/>
    <w:qFormat/>
    <w:rPr>
      <w:rFonts w:ascii="Liberation Serif" w:hAnsi="Liberation Serif"/>
      <w:b/>
      <w:sz w:val="24"/>
    </w:rPr>
  </w:style>
  <w:style w:type="character" w:styleId="ListLabel30">
    <w:name w:val="ListLabel 30"/>
    <w:qFormat/>
    <w:rPr>
      <w:rFonts w:ascii="Liberation Serif" w:hAnsi="Liberation Serif"/>
      <w:b/>
      <w:sz w:val="24"/>
    </w:rPr>
  </w:style>
  <w:style w:type="character" w:styleId="ListLabel31">
    <w:name w:val="ListLabel 31"/>
    <w:qFormat/>
    <w:rPr>
      <w:rFonts w:ascii="Liberation Serif" w:hAnsi="Liberation Serif"/>
      <w:b/>
      <w:sz w:val="24"/>
    </w:rPr>
  </w:style>
  <w:style w:type="character" w:styleId="ListLabel32">
    <w:name w:val="ListLabel 32"/>
    <w:qFormat/>
    <w:rPr>
      <w:rFonts w:ascii="Liberation Serif" w:hAnsi="Liberation Serif"/>
      <w:b/>
      <w:sz w:val="24"/>
    </w:rPr>
  </w:style>
  <w:style w:type="character" w:styleId="ListLabel33">
    <w:name w:val="ListLabel 33"/>
    <w:qFormat/>
    <w:rPr>
      <w:rFonts w:ascii="Liberation Serif" w:hAnsi="Liberation Serif"/>
      <w:b/>
      <w:sz w:val="24"/>
    </w:rPr>
  </w:style>
  <w:style w:type="character" w:styleId="ListLabel34">
    <w:name w:val="ListLabel 34"/>
    <w:qFormat/>
    <w:rPr>
      <w:rFonts w:ascii="Liberation Serif" w:hAnsi="Liberation Serif"/>
      <w:b/>
      <w:sz w:val="24"/>
    </w:rPr>
  </w:style>
  <w:style w:type="character" w:styleId="ListLabel35">
    <w:name w:val="ListLabel 35"/>
    <w:qFormat/>
    <w:rPr>
      <w:rFonts w:ascii="Liberation Serif" w:hAnsi="Liberation Serif"/>
      <w:b/>
      <w:sz w:val="24"/>
    </w:rPr>
  </w:style>
  <w:style w:type="character" w:styleId="ListLabel36">
    <w:name w:val="ListLabel 36"/>
    <w:qFormat/>
    <w:rPr>
      <w:rFonts w:ascii="Liberation Serif" w:hAnsi="Liberation Serif"/>
      <w:b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59</TotalTime>
  <Application>LibreOffice/6.0.7.3$Linux_x86 LibreOffice_project/00m0$Build-3</Application>
  <Pages>2</Pages>
  <Words>132</Words>
  <Characters>1099</Characters>
  <CharactersWithSpaces>1224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2017-08-10T13:07:00Z</dcterms:created>
  <dc:creator>User</dc:creator>
  <dc:description/>
  <dc:language>ru-RU</dc:language>
  <cp:lastModifiedBy/>
  <cp:lastPrinted>2016-08-17T02:59:00Z</cp:lastPrinted>
  <dcterms:modified xsi:type="dcterms:W3CDTF">2019-08-22T11:36:30Z</dcterms:modified>
  <cp:revision>10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