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847075">
            <w:pPr>
              <w:widowControl w:val="0"/>
              <w:ind w:firstLine="709"/>
              <w:jc w:val="left"/>
            </w:pPr>
            <w:r>
              <w:t>1</w:t>
            </w:r>
            <w:r w:rsidR="00847075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00EA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847075">
              <w:t>6</w:t>
            </w:r>
            <w:r w:rsidR="0051014F">
              <w:t>/</w:t>
            </w:r>
            <w:r w:rsidR="00847075">
              <w:t>9</w:t>
            </w:r>
            <w:r w:rsidR="00A00EA0">
              <w:t>9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A00EA0">
        <w:rPr>
          <w:rFonts w:eastAsia="MS Mincho"/>
          <w:b/>
          <w:bCs/>
          <w:color w:val="000000"/>
        </w:rPr>
        <w:t>Петренко Алексея Петровича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18545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A00EA0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Петренко Алексей Петрович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A00EA0">
        <w:rPr>
          <w:rFonts w:eastAsia="MS Mincho"/>
          <w:color w:val="000000"/>
        </w:rPr>
        <w:t>Петренко Алексей Петрович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A00EA0">
        <w:rPr>
          <w:rFonts w:eastAsia="MS Mincho"/>
          <w:color w:val="000000"/>
        </w:rPr>
        <w:t>Петренко Алексея Петровича</w:t>
      </w:r>
      <w:r w:rsidR="0018545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A00EA0">
        <w:rPr>
          <w:rFonts w:eastAsia="MS Mincho"/>
          <w:color w:val="000000"/>
        </w:rPr>
        <w:t>Петренко Алексеем  Петровичем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A00EA0">
        <w:rPr>
          <w:rFonts w:eastAsia="MS Mincho"/>
          <w:color w:val="000000"/>
        </w:rPr>
        <w:t>Петренко Алексеем Петровичем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A444E8">
        <w:rPr>
          <w:rFonts w:eastAsia="MS Mincho"/>
          <w:color w:val="000000"/>
        </w:rPr>
        <w:t>,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0B186C" w:rsidRDefault="000B186C" w:rsidP="000B186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 xml:space="preserve">ИЦ ГУ МВД России по Свердловской области </w:t>
      </w:r>
      <w:r w:rsidRPr="00DF5739">
        <w:rPr>
          <w:rFonts w:eastAsia="MS Mincho"/>
          <w:color w:val="000000"/>
        </w:rPr>
        <w:t>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Зарегистрировать </w:t>
      </w:r>
      <w:r w:rsidR="004B6676">
        <w:rPr>
          <w:rFonts w:eastAsia="MS Mincho"/>
          <w:color w:val="000000"/>
        </w:rPr>
        <w:t>Петренко Алексея Петровича</w:t>
      </w:r>
      <w:r w:rsidRPr="00DF5739">
        <w:rPr>
          <w:rFonts w:eastAsia="MS Mincho"/>
          <w:color w:val="000000"/>
        </w:rPr>
        <w:t>, 19</w:t>
      </w:r>
      <w:r w:rsidR="004B6676">
        <w:rPr>
          <w:rFonts w:eastAsia="MS Mincho"/>
          <w:color w:val="000000"/>
        </w:rPr>
        <w:t>74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185452">
        <w:rPr>
          <w:rFonts w:eastAsia="MS Mincho"/>
          <w:color w:val="000000"/>
        </w:rPr>
        <w:t xml:space="preserve">его </w:t>
      </w:r>
      <w:r w:rsidR="004B6676">
        <w:rPr>
          <w:rFonts w:eastAsia="MS Mincho"/>
          <w:color w:val="000000"/>
        </w:rPr>
        <w:t>пожарным</w:t>
      </w:r>
      <w:r w:rsidR="0061168C">
        <w:rPr>
          <w:rFonts w:eastAsia="MS Mincho"/>
          <w:color w:val="000000"/>
        </w:rPr>
        <w:t xml:space="preserve"> пожарной части № 14/1 с. Таборы</w:t>
      </w:r>
      <w:r w:rsidR="004B6676">
        <w:rPr>
          <w:rFonts w:eastAsia="MS Mincho"/>
          <w:color w:val="000000"/>
        </w:rPr>
        <w:t xml:space="preserve"> ГКПТУ «Отряд противопожарной службы Свердловской области</w:t>
      </w:r>
      <w:r w:rsidR="0061168C">
        <w:rPr>
          <w:rFonts w:eastAsia="MS Mincho"/>
          <w:color w:val="000000"/>
        </w:rPr>
        <w:t>»</w:t>
      </w:r>
      <w:r w:rsidR="009535A5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про</w:t>
      </w:r>
      <w:r w:rsidRPr="00DF5739">
        <w:rPr>
          <w:rFonts w:eastAsia="MS Mincho"/>
          <w:color w:val="000000"/>
        </w:rPr>
        <w:softHyphen/>
        <w:t>живающ</w:t>
      </w:r>
      <w:r w:rsidR="009535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535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61168C">
        <w:rPr>
          <w:rFonts w:eastAsia="MS Mincho"/>
          <w:color w:val="000000"/>
        </w:rPr>
        <w:t>30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61168C">
        <w:rPr>
          <w:rFonts w:eastAsia="MS Mincho"/>
          <w:color w:val="000000"/>
        </w:rPr>
        <w:t>Петренко Алексею Петровичу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61168C">
        <w:rPr>
          <w:rFonts w:eastAsia="MS Mincho"/>
          <w:color w:val="000000"/>
        </w:rPr>
        <w:t>3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61168C">
        <w:rPr>
          <w:rFonts w:eastAsia="MS Mincho"/>
          <w:color w:val="000000"/>
        </w:rPr>
        <w:t>Петренко Алексее Петровиче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</w:t>
      </w:r>
      <w:r w:rsidR="0061168C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535A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61168C">
        <w:rPr>
          <w:rFonts w:eastAsia="MS Mincho"/>
          <w:color w:val="000000"/>
        </w:rPr>
        <w:t>Петренко А.П.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61168C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>
        <w:rPr>
          <w:rFonts w:eastAsia="MS Mincho"/>
          <w:color w:val="000000"/>
        </w:rPr>
        <w:t>Петренко А.П</w:t>
      </w:r>
      <w:r w:rsidR="009535A5">
        <w:rPr>
          <w:rFonts w:eastAsia="MS Mincho"/>
          <w:color w:val="000000"/>
        </w:rPr>
        <w:t>.</w:t>
      </w:r>
      <w:r w:rsidR="003B370A"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61168C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FD" w:rsidRDefault="005B44FD">
      <w:r>
        <w:separator/>
      </w:r>
    </w:p>
  </w:endnote>
  <w:endnote w:type="continuationSeparator" w:id="1">
    <w:p w:rsidR="005B44FD" w:rsidRDefault="005B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FD" w:rsidRDefault="005B44FD">
      <w:r>
        <w:separator/>
      </w:r>
    </w:p>
  </w:footnote>
  <w:footnote w:type="continuationSeparator" w:id="1">
    <w:p w:rsidR="005B44FD" w:rsidRDefault="005B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430F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5B44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6430FC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B186C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5B44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561D"/>
    <w:rsid w:val="000872AE"/>
    <w:rsid w:val="000B186C"/>
    <w:rsid w:val="000F3B60"/>
    <w:rsid w:val="00137589"/>
    <w:rsid w:val="00147288"/>
    <w:rsid w:val="00156327"/>
    <w:rsid w:val="00162B28"/>
    <w:rsid w:val="001640BC"/>
    <w:rsid w:val="00171A21"/>
    <w:rsid w:val="00172DB0"/>
    <w:rsid w:val="00185452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676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4A5A"/>
    <w:rsid w:val="00596357"/>
    <w:rsid w:val="005B44FD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1168C"/>
    <w:rsid w:val="00623CA5"/>
    <w:rsid w:val="006331EE"/>
    <w:rsid w:val="006430FC"/>
    <w:rsid w:val="00660B42"/>
    <w:rsid w:val="0066267D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35A5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2820"/>
    <w:rsid w:val="009F5D99"/>
    <w:rsid w:val="009F5DCC"/>
    <w:rsid w:val="00A00EA0"/>
    <w:rsid w:val="00A02DBA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2017-07-19T10:21:00Z</cp:lastPrinted>
  <dcterms:created xsi:type="dcterms:W3CDTF">2017-07-17T10:27:00Z</dcterms:created>
  <dcterms:modified xsi:type="dcterms:W3CDTF">2017-07-19T10:23:00Z</dcterms:modified>
</cp:coreProperties>
</file>