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87843" w:rsidP="0028668A">
            <w:pPr>
              <w:widowControl w:val="0"/>
              <w:ind w:firstLine="709"/>
              <w:jc w:val="left"/>
            </w:pPr>
            <w:r>
              <w:t>8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8232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F87843">
              <w:t>2</w:t>
            </w:r>
            <w:r w:rsidR="00CA0731">
              <w:t>/</w:t>
            </w:r>
            <w:r w:rsidR="00282327">
              <w:t>202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19152F" w:rsidP="0052060F">
      <w:pPr>
        <w:rPr>
          <w:b/>
          <w:szCs w:val="24"/>
        </w:rPr>
      </w:pPr>
      <w:r>
        <w:rPr>
          <w:b/>
        </w:rPr>
        <w:t>Об установлении количества переносных ящиков для участковых избирательных комиссий</w:t>
      </w:r>
    </w:p>
    <w:p w:rsidR="00997D54" w:rsidRPr="00697749" w:rsidRDefault="006734A1" w:rsidP="005F0478">
      <w:pPr>
        <w:rPr>
          <w:b/>
        </w:rPr>
      </w:pPr>
      <w:r>
        <w:rPr>
          <w:b/>
          <w:szCs w:val="24"/>
        </w:rPr>
        <w:t xml:space="preserve"> </w:t>
      </w:r>
      <w:bookmarkStart w:id="0" w:name="_GoBack"/>
      <w:bookmarkEnd w:id="0"/>
    </w:p>
    <w:p w:rsidR="00C46ED8" w:rsidRPr="00DF5739" w:rsidRDefault="0019152F" w:rsidP="00841AA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соответствии с пунктом 7 статьи 84 Избирательного кодекса Свердловской области</w:t>
      </w:r>
      <w:r w:rsidR="0052060F"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19152F" w:rsidRDefault="0019152F" w:rsidP="0019152F">
      <w:pPr>
        <w:spacing w:line="360" w:lineRule="auto"/>
        <w:ind w:firstLine="720"/>
        <w:jc w:val="both"/>
      </w:pPr>
      <w:r>
        <w:t>1. Установить количество переносных ящиков для участковых избирательных комиссий Таборинского муниципального района при проведении выборов в единый день голосования 18 сентября 2016 года в соответствии с приложением.</w:t>
      </w:r>
    </w:p>
    <w:p w:rsidR="0019152F" w:rsidRDefault="0019152F" w:rsidP="0019152F">
      <w:pPr>
        <w:pStyle w:val="af1"/>
      </w:pPr>
      <w:r>
        <w:t>2. Направить настоящее решение участковым избирательным комиссиям.</w:t>
      </w:r>
    </w:p>
    <w:p w:rsidR="0019152F" w:rsidRDefault="0019152F" w:rsidP="0019152F">
      <w:pPr>
        <w:pStyle w:val="af1"/>
        <w:ind w:firstLine="720"/>
        <w:rPr>
          <w:rFonts w:ascii="Times New Roman" w:hAnsi="Times New Roman"/>
        </w:rPr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сайте Таборинской районной территориальной избирательной комиссии.</w:t>
      </w:r>
    </w:p>
    <w:p w:rsidR="00737D0D" w:rsidRPr="00CB1728" w:rsidRDefault="0019152F" w:rsidP="0019152F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Владимирову В.А.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7971B4" w:rsidRDefault="007971B4">
      <w:pPr>
        <w:jc w:val="left"/>
      </w:pPr>
      <w:r>
        <w:lastRenderedPageBreak/>
        <w:br w:type="page"/>
      </w:r>
    </w:p>
    <w:p w:rsidR="007971B4" w:rsidRPr="003D2A61" w:rsidRDefault="007971B4" w:rsidP="007971B4">
      <w:pPr>
        <w:ind w:left="4536"/>
        <w:jc w:val="left"/>
      </w:pPr>
      <w:r w:rsidRPr="003D2A61">
        <w:t>Приложение</w:t>
      </w:r>
      <w:r w:rsidR="00BD0BDB">
        <w:t xml:space="preserve"> 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к решению </w:t>
      </w:r>
      <w:r>
        <w:t>Таборинской районной</w:t>
      </w:r>
      <w:r w:rsidRPr="00FE62E9">
        <w:t xml:space="preserve"> </w:t>
      </w:r>
      <w:r w:rsidRPr="003D2A61">
        <w:t>территориальной избирательной</w:t>
      </w:r>
      <w:r w:rsidRPr="00E770CF">
        <w:t xml:space="preserve"> </w:t>
      </w:r>
      <w:r w:rsidRPr="003D2A61">
        <w:t>комиссии</w:t>
      </w:r>
    </w:p>
    <w:p w:rsidR="007971B4" w:rsidRPr="003D2A61" w:rsidRDefault="007971B4" w:rsidP="007971B4">
      <w:pPr>
        <w:ind w:left="4536"/>
        <w:jc w:val="left"/>
      </w:pPr>
      <w:r w:rsidRPr="003D2A61">
        <w:t xml:space="preserve">от </w:t>
      </w:r>
      <w:r>
        <w:t>8 августа</w:t>
      </w:r>
      <w:r w:rsidRPr="00FE62E9">
        <w:t xml:space="preserve"> 2016</w:t>
      </w:r>
      <w:r w:rsidRPr="003D2A61">
        <w:t xml:space="preserve"> г. № </w:t>
      </w:r>
      <w:r>
        <w:t>22/</w:t>
      </w:r>
      <w:r w:rsidR="00282327">
        <w:t>202</w:t>
      </w:r>
    </w:p>
    <w:p w:rsidR="007971B4" w:rsidRDefault="007971B4" w:rsidP="005065B9"/>
    <w:p w:rsidR="0019152F" w:rsidRDefault="0019152F" w:rsidP="0019152F">
      <w:pPr>
        <w:pStyle w:val="ab"/>
        <w:tabs>
          <w:tab w:val="left" w:pos="900"/>
        </w:tabs>
        <w:rPr>
          <w:b/>
        </w:rPr>
      </w:pPr>
      <w:r>
        <w:rPr>
          <w:b/>
        </w:rPr>
        <w:t>Количество переносных ящиков для участковых избирательных комиссий Таборинского муниципального района при проведении выборов в единый день голосования 18 сентября 2016 года</w:t>
      </w:r>
    </w:p>
    <w:p w:rsidR="0019152F" w:rsidRDefault="0019152F" w:rsidP="0019152F">
      <w:pPr>
        <w:pStyle w:val="ab"/>
        <w:tabs>
          <w:tab w:val="left" w:pos="900"/>
        </w:tabs>
        <w:rPr>
          <w:b/>
        </w:rPr>
      </w:pPr>
    </w:p>
    <w:tbl>
      <w:tblPr>
        <w:tblW w:w="85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852"/>
        <w:gridCol w:w="2410"/>
        <w:gridCol w:w="2410"/>
      </w:tblGrid>
      <w:tr w:rsidR="0019152F" w:rsidTr="0092405C">
        <w:trPr>
          <w:trHeight w:val="689"/>
        </w:trPr>
        <w:tc>
          <w:tcPr>
            <w:tcW w:w="1852" w:type="dxa"/>
          </w:tcPr>
          <w:p w:rsidR="0019152F" w:rsidRDefault="0019152F" w:rsidP="0092405C">
            <w:r>
              <w:t xml:space="preserve">№ </w:t>
            </w:r>
          </w:p>
          <w:p w:rsidR="0019152F" w:rsidRDefault="0019152F" w:rsidP="0092405C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№ участка</w:t>
            </w:r>
          </w:p>
        </w:tc>
        <w:tc>
          <w:tcPr>
            <w:tcW w:w="2410" w:type="dxa"/>
            <w:vAlign w:val="center"/>
          </w:tcPr>
          <w:p w:rsidR="0019152F" w:rsidRDefault="0019152F" w:rsidP="0092405C">
            <w:r>
              <w:t>Численность избирателей на 01.07.2016</w:t>
            </w:r>
          </w:p>
        </w:tc>
        <w:tc>
          <w:tcPr>
            <w:tcW w:w="2410" w:type="dxa"/>
          </w:tcPr>
          <w:p w:rsidR="0019152F" w:rsidRDefault="0019152F" w:rsidP="0092405C">
            <w:r>
              <w:t>Количество переносных ящиков</w:t>
            </w:r>
          </w:p>
        </w:tc>
      </w:tr>
      <w:tr w:rsidR="0019152F" w:rsidTr="0092405C">
        <w:trPr>
          <w:trHeight w:val="409"/>
        </w:trPr>
        <w:tc>
          <w:tcPr>
            <w:tcW w:w="1852" w:type="dxa"/>
          </w:tcPr>
          <w:p w:rsidR="0019152F" w:rsidRDefault="0019152F" w:rsidP="0092405C">
            <w:r>
              <w:t>1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879</w:t>
            </w:r>
          </w:p>
        </w:tc>
        <w:tc>
          <w:tcPr>
            <w:tcW w:w="2410" w:type="dxa"/>
          </w:tcPr>
          <w:p w:rsidR="0019152F" w:rsidRDefault="0019152F" w:rsidP="0092405C">
            <w:pPr>
              <w:rPr>
                <w:szCs w:val="24"/>
              </w:rPr>
            </w:pPr>
            <w:r>
              <w:rPr>
                <w:szCs w:val="24"/>
              </w:rPr>
              <w:t>1087</w:t>
            </w:r>
          </w:p>
        </w:tc>
        <w:tc>
          <w:tcPr>
            <w:tcW w:w="2410" w:type="dxa"/>
          </w:tcPr>
          <w:p w:rsidR="0019152F" w:rsidRDefault="0019152F" w:rsidP="0092405C">
            <w:r>
              <w:t>2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 xml:space="preserve"> 2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880</w:t>
            </w:r>
          </w:p>
        </w:tc>
        <w:tc>
          <w:tcPr>
            <w:tcW w:w="2410" w:type="dxa"/>
          </w:tcPr>
          <w:p w:rsidR="0019152F" w:rsidRDefault="0019152F" w:rsidP="0092405C">
            <w:r>
              <w:t>177</w:t>
            </w:r>
          </w:p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3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881</w:t>
            </w:r>
          </w:p>
        </w:tc>
        <w:tc>
          <w:tcPr>
            <w:tcW w:w="2410" w:type="dxa"/>
          </w:tcPr>
          <w:p w:rsidR="0019152F" w:rsidRDefault="0019152F" w:rsidP="0092405C">
            <w:r>
              <w:t>142</w:t>
            </w:r>
          </w:p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4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883</w:t>
            </w:r>
          </w:p>
        </w:tc>
        <w:tc>
          <w:tcPr>
            <w:tcW w:w="2410" w:type="dxa"/>
          </w:tcPr>
          <w:p w:rsidR="0019152F" w:rsidRDefault="0019152F" w:rsidP="0092405C">
            <w:r>
              <w:t>592</w:t>
            </w:r>
          </w:p>
        </w:tc>
        <w:tc>
          <w:tcPr>
            <w:tcW w:w="2410" w:type="dxa"/>
          </w:tcPr>
          <w:p w:rsidR="0019152F" w:rsidRDefault="0019152F" w:rsidP="0092405C">
            <w:r>
              <w:t>2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5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884</w:t>
            </w:r>
          </w:p>
        </w:tc>
        <w:tc>
          <w:tcPr>
            <w:tcW w:w="2410" w:type="dxa"/>
          </w:tcPr>
          <w:p w:rsidR="0019152F" w:rsidRDefault="0019152F" w:rsidP="0092405C">
            <w:r>
              <w:t>434</w:t>
            </w:r>
          </w:p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6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886</w:t>
            </w:r>
          </w:p>
        </w:tc>
        <w:tc>
          <w:tcPr>
            <w:tcW w:w="2410" w:type="dxa"/>
          </w:tcPr>
          <w:p w:rsidR="0019152F" w:rsidRDefault="0019152F" w:rsidP="0092405C">
            <w:r>
              <w:t>220</w:t>
            </w:r>
          </w:p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7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887</w:t>
            </w:r>
          </w:p>
        </w:tc>
        <w:tc>
          <w:tcPr>
            <w:tcW w:w="2410" w:type="dxa"/>
          </w:tcPr>
          <w:p w:rsidR="0019152F" w:rsidRDefault="0019152F" w:rsidP="0092405C">
            <w:r>
              <w:t>309</w:t>
            </w:r>
          </w:p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8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888</w:t>
            </w:r>
          </w:p>
        </w:tc>
        <w:tc>
          <w:tcPr>
            <w:tcW w:w="2410" w:type="dxa"/>
          </w:tcPr>
          <w:p w:rsidR="0019152F" w:rsidRDefault="0019152F" w:rsidP="0092405C">
            <w:r>
              <w:t>74</w:t>
            </w:r>
          </w:p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  <w:tr w:rsidR="0019152F" w:rsidTr="0092405C">
        <w:trPr>
          <w:trHeight w:val="243"/>
        </w:trPr>
        <w:tc>
          <w:tcPr>
            <w:tcW w:w="1852" w:type="dxa"/>
          </w:tcPr>
          <w:p w:rsidR="0019152F" w:rsidRDefault="0019152F" w:rsidP="0092405C">
            <w:r>
              <w:t>9</w:t>
            </w:r>
          </w:p>
        </w:tc>
        <w:tc>
          <w:tcPr>
            <w:tcW w:w="1852" w:type="dxa"/>
            <w:vAlign w:val="center"/>
          </w:tcPr>
          <w:p w:rsidR="0019152F" w:rsidRDefault="0019152F" w:rsidP="0092405C">
            <w:r>
              <w:t>889</w:t>
            </w:r>
          </w:p>
        </w:tc>
        <w:tc>
          <w:tcPr>
            <w:tcW w:w="2410" w:type="dxa"/>
          </w:tcPr>
          <w:p w:rsidR="0019152F" w:rsidRDefault="0019152F" w:rsidP="0092405C">
            <w:r>
              <w:t>62</w:t>
            </w:r>
          </w:p>
        </w:tc>
        <w:tc>
          <w:tcPr>
            <w:tcW w:w="2410" w:type="dxa"/>
          </w:tcPr>
          <w:p w:rsidR="0019152F" w:rsidRDefault="0019152F" w:rsidP="0092405C">
            <w:r>
              <w:t>1</w:t>
            </w:r>
          </w:p>
        </w:tc>
      </w:tr>
    </w:tbl>
    <w:p w:rsidR="00BD0BDB" w:rsidRDefault="00BD0BDB" w:rsidP="005065B9"/>
    <w:sectPr w:rsidR="00BD0BDB" w:rsidSect="006734A1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77" w:rsidRDefault="00FD7677">
      <w:r>
        <w:separator/>
      </w:r>
    </w:p>
  </w:endnote>
  <w:endnote w:type="continuationSeparator" w:id="0">
    <w:p w:rsidR="00FD7677" w:rsidRDefault="00F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77" w:rsidRDefault="00FD7677">
      <w:r>
        <w:separator/>
      </w:r>
    </w:p>
  </w:footnote>
  <w:footnote w:type="continuationSeparator" w:id="0">
    <w:p w:rsidR="00FD7677" w:rsidRDefault="00FD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C769B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D7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C769B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734A1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FD76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69D0612D" wp14:editId="7A2CE298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43B90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2327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54436"/>
    <w:rsid w:val="005552F2"/>
    <w:rsid w:val="00561E5E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734A1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4D22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69B5"/>
    <w:rsid w:val="00C806C4"/>
    <w:rsid w:val="00C850F0"/>
    <w:rsid w:val="00C9196D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2CF1"/>
    <w:rsid w:val="00E6572E"/>
    <w:rsid w:val="00E71167"/>
    <w:rsid w:val="00E72885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7677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AAE3-8883-4450-BDB3-82DB5110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5</cp:revision>
  <cp:lastPrinted>2016-08-08T13:27:00Z</cp:lastPrinted>
  <dcterms:created xsi:type="dcterms:W3CDTF">2016-08-07T08:47:00Z</dcterms:created>
  <dcterms:modified xsi:type="dcterms:W3CDTF">2016-08-09T13:47:00Z</dcterms:modified>
</cp:coreProperties>
</file>