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1B2795" w:rsidRDefault="001B2795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854C5B" w:rsidRPr="00854C5B" w:rsidRDefault="00ED6A4E" w:rsidP="00854C5B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854C5B" w:rsidRPr="00854C5B">
        <w:rPr>
          <w:rFonts w:ascii="Liberation Serif" w:hAnsi="Liberation Serif" w:cs="Liberation Serif"/>
          <w:color w:val="040300"/>
          <w:sz w:val="28"/>
          <w:szCs w:val="28"/>
        </w:rPr>
        <w:t>Избирательная кампания по выборам депутатов Думы Камышловского городского округа восьмого созыва в самом разгаре</w:t>
      </w:r>
    </w:p>
    <w:p w:rsidR="00805B7A" w:rsidRPr="00805B7A" w:rsidRDefault="00805B7A" w:rsidP="00854C5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bookmarkStart w:id="0" w:name="_GoBack"/>
      <w:r w:rsidRPr="00805B7A">
        <w:rPr>
          <w:rFonts w:ascii="Liberation Serif" w:hAnsi="Liberation Serif" w:cs="Liberation Serif"/>
          <w:color w:val="040300"/>
          <w:sz w:val="28"/>
          <w:szCs w:val="28"/>
        </w:rPr>
        <w:t>Зарегистрированные кандидаты ведут агитацию среди избирателей путем размещения агитационных материалов, встреч с избирателями.</w:t>
      </w:r>
    </w:p>
    <w:p w:rsidR="00805B7A" w:rsidRPr="00805B7A" w:rsidRDefault="00805B7A" w:rsidP="00854C5B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Завершится агитационный этап 16 сентября в преддверии первого дня голосования.</w:t>
      </w:r>
    </w:p>
    <w:bookmarkEnd w:id="0"/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Всего в депутаты Думы Камышловского городского округа восьмого созыва зарегистрировано  64 кандидата, из них 46 мужчин и 18 женщин.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44 кандидата выдвинулись от 5 политических  партий: 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805B7A">
        <w:rPr>
          <w:rFonts w:ascii="Liberation Serif" w:hAnsi="Liberation Serif" w:cs="Liberation Serif"/>
          <w:color w:val="040300"/>
          <w:sz w:val="28"/>
          <w:szCs w:val="28"/>
        </w:rPr>
        <w:t>Камышловское</w:t>
      </w:r>
      <w:proofErr w:type="spellEnd"/>
      <w:r w:rsidRPr="00805B7A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городское местное отделение Всероссийской политической партии "ЕДИНАЯ РОССИЯ" – 15 человек  (23%);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Свердловское областное отделение Политической партии "КОММУНИСТИЧЕСКАЯ ПАРТИЯ РОССИЙСКОЙ ФЕДЕРАЦИИ" -  11 человек  (17%);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Региональное отделение Социалистической политической партии "</w:t>
      </w:r>
      <w:proofErr w:type="gramStart"/>
      <w:r w:rsidRPr="00805B7A">
        <w:rPr>
          <w:rFonts w:ascii="Liberation Serif" w:hAnsi="Liberation Serif" w:cs="Liberation Serif"/>
          <w:color w:val="040300"/>
          <w:sz w:val="28"/>
          <w:szCs w:val="28"/>
        </w:rPr>
        <w:t>СПРАВЕДЛИВАЯ</w:t>
      </w:r>
      <w:proofErr w:type="gramEnd"/>
      <w:r w:rsidRPr="00805B7A">
        <w:rPr>
          <w:rFonts w:ascii="Liberation Serif" w:hAnsi="Liberation Serif" w:cs="Liberation Serif"/>
          <w:color w:val="040300"/>
          <w:sz w:val="28"/>
          <w:szCs w:val="28"/>
        </w:rPr>
        <w:t xml:space="preserve"> РОССИЯ-ПАТРИОТЫ-ЗА ПРАВДУ" – 13 человек  (20%);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Свердловское региональное отделение Политической партии ЛДПР - Либерально-демократической партии России – 3 человека  (5%);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Региональное отделение Политической партии "Российская партия пенсионеров за социальную справедливость" в Свердловской области -  2 человека  (3%).</w:t>
      </w:r>
    </w:p>
    <w:p w:rsid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20 человек выдвинулись путем самовыдвижения.</w:t>
      </w:r>
    </w:p>
    <w:p w:rsidR="00805B7A" w:rsidRPr="00805B7A" w:rsidRDefault="00805B7A" w:rsidP="00805B7A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Возрастные категории:</w:t>
      </w:r>
    </w:p>
    <w:p w:rsidR="00805B7A" w:rsidRPr="00805B7A" w:rsidRDefault="00805B7A" w:rsidP="00805B7A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- в возрасте до 35 лет  - 12 человек;</w:t>
      </w:r>
    </w:p>
    <w:p w:rsidR="00805B7A" w:rsidRPr="00805B7A" w:rsidRDefault="00805B7A" w:rsidP="00805B7A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- от 35 до 60 лет -  47 человек;</w:t>
      </w:r>
    </w:p>
    <w:p w:rsidR="00805B7A" w:rsidRPr="00805B7A" w:rsidRDefault="00805B7A" w:rsidP="00805B7A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05B7A">
        <w:rPr>
          <w:rFonts w:ascii="Liberation Serif" w:hAnsi="Liberation Serif" w:cs="Liberation Serif"/>
          <w:color w:val="040300"/>
          <w:sz w:val="28"/>
          <w:szCs w:val="28"/>
        </w:rPr>
        <w:t>- старше 60 лет - 5 человек.</w:t>
      </w:r>
    </w:p>
    <w:p w:rsidR="0089779D" w:rsidRPr="0089779D" w:rsidRDefault="0089779D" w:rsidP="00805B7A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2023-02-28T04:37:00Z</dcterms:created>
  <dcterms:modified xsi:type="dcterms:W3CDTF">2023-02-28T04:37:00Z</dcterms:modified>
</cp:coreProperties>
</file>