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35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3686"/>
        <w:gridCol w:w="5669"/>
      </w:tblGrid>
      <w:tr>
        <w:trPr>
          <w:trHeight w:val="709" w:hRule="atLeast"/>
        </w:trPr>
        <w:tc>
          <w:tcPr>
            <w:tcW w:w="3686" w:type="dxa"/>
            <w:tcBorders/>
          </w:tcPr>
          <w:p>
            <w:pPr>
              <w:pStyle w:val="Normal"/>
              <w:ind w:firstLine="709"/>
              <w:jc w:val="both"/>
              <w:rPr>
                <w:color w:themeColor="text1" w:val="000000"/>
                <w:sz w:val="20"/>
                <w:szCs w:val="28"/>
              </w:rPr>
            </w:pPr>
            <w:r>
              <w:rPr>
                <w:color w:themeColor="text1" w:val="000000"/>
                <w:sz w:val="20"/>
                <w:szCs w:val="28"/>
              </w:rPr>
            </w:r>
          </w:p>
        </w:tc>
        <w:tc>
          <w:tcPr>
            <w:tcW w:w="5669" w:type="dxa"/>
            <w:tcBorders/>
          </w:tcPr>
          <w:p>
            <w:pPr>
              <w:pStyle w:val="Normal"/>
              <w:rPr>
                <w:rFonts w:ascii="Liberation Serif" w:hAnsi="Liberation Serif" w:cs="Liberation Serif"/>
                <w:color w:themeColor="text1" w:themeTint="f2" w:val="0D0D0D"/>
                <w:szCs w:val="28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Cs w:val="28"/>
              </w:rPr>
              <w:t>Приложение № 2</w:t>
            </w:r>
          </w:p>
          <w:p>
            <w:pPr>
              <w:pStyle w:val="Normal"/>
              <w:ind w:left="-116" w:right="-108"/>
              <w:rPr>
                <w:rFonts w:ascii="Liberation Serif" w:hAnsi="Liberation Serif" w:cs="Liberation Serif"/>
                <w:color w:themeColor="text1" w:themeTint="f2" w:val="0D0D0D"/>
                <w:szCs w:val="28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Cs w:val="28"/>
              </w:rPr>
              <w:t>УТВЕРЖДЕН</w:t>
            </w:r>
            <w:r>
              <w:rPr>
                <w:rFonts w:cs="Liberation Serif" w:ascii="Liberation Serif" w:hAnsi="Liberation Serif"/>
                <w:color w:themeColor="text1" w:themeTint="f2" w:val="0D0D0D"/>
                <w:szCs w:val="28"/>
              </w:rPr>
              <w:t>О</w:t>
            </w:r>
            <w:r>
              <w:rPr>
                <w:rFonts w:cs="Liberation Serif" w:ascii="Liberation Serif" w:hAnsi="Liberation Serif"/>
                <w:color w:themeColor="text1" w:themeTint="f2" w:val="0D0D0D"/>
                <w:szCs w:val="28"/>
              </w:rPr>
              <w:t xml:space="preserve"> </w:t>
              <w:br/>
              <w:t>решением Дегтярской городской территориальной избирательной комиссии</w:t>
            </w:r>
          </w:p>
          <w:p>
            <w:pPr>
              <w:pStyle w:val="Normal"/>
              <w:ind w:left="-116" w:right="-108"/>
              <w:rPr>
                <w:rFonts w:ascii="Liberation Serif" w:hAnsi="Liberation Serif" w:cs="Liberation Serif"/>
                <w:color w:themeColor="text1" w:themeTint="f2" w:val="0D0D0D"/>
                <w:szCs w:val="28"/>
              </w:rPr>
            </w:pPr>
            <w:r>
              <w:rPr>
                <w:rFonts w:cs="Liberation Serif" w:ascii="Liberation Serif" w:hAnsi="Liberation Serif"/>
                <w:color w:themeColor="text1" w:themeTint="f2" w:val="0D0D0D"/>
                <w:szCs w:val="28"/>
              </w:rPr>
              <w:t>от 26 июня 2026 г. № 17/74</w:t>
            </w:r>
          </w:p>
          <w:p>
            <w:pPr>
              <w:pStyle w:val="Normal"/>
              <w:spacing w:before="0" w:after="120"/>
              <w:ind w:left="742"/>
              <w:rPr>
                <w:color w:themeColor="text1" w:val="000000"/>
                <w:szCs w:val="20"/>
              </w:rPr>
            </w:pPr>
            <w:r>
              <w:rPr>
                <w:color w:themeColor="text1" w:val="000000"/>
                <w:szCs w:val="20"/>
              </w:rPr>
            </w:r>
          </w:p>
        </w:tc>
      </w:tr>
    </w:tbl>
    <w:p>
      <w:pPr>
        <w:pStyle w:val="Normal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rPr>
          <w:rFonts w:ascii="Liberation Serif" w:hAnsi="Liberation Serif" w:cs="Liberation Serif"/>
          <w:color w:themeColor="text1" w:themeTint="f2" w:val="0D0D0D"/>
          <w:szCs w:val="28"/>
          <w:shd w:fill="FFFFFF" w:val="clear"/>
        </w:rPr>
      </w:pPr>
      <w:r>
        <w:rPr>
          <w:rFonts w:cs="Liberation Serif" w:ascii="Liberation Serif" w:hAnsi="Liberation Serif"/>
          <w:color w:themeColor="text1" w:themeTint="f2" w:val="0D0D0D"/>
          <w:szCs w:val="28"/>
          <w:shd w:fill="FFFFFF" w:val="clear"/>
        </w:rPr>
        <w:t xml:space="preserve">Разъяснения </w:t>
      </w:r>
    </w:p>
    <w:p>
      <w:pPr>
        <w:pStyle w:val="Normal"/>
        <w:rPr/>
      </w:pPr>
      <w:r>
        <w:rPr>
          <w:rFonts w:cs="Liberation Serif" w:ascii="Liberation Serif" w:hAnsi="Liberation Serif"/>
          <w:color w:themeColor="text1" w:themeTint="f2" w:val="0D0D0D"/>
          <w:szCs w:val="28"/>
          <w:shd w:fill="FFFFFF" w:val="clear"/>
        </w:rPr>
        <w:t xml:space="preserve">о порядке представления </w:t>
      </w:r>
      <w:r>
        <w:rPr>
          <w:rFonts w:cs="Liberation Serif" w:ascii="Liberation Serif" w:hAnsi="Liberation Serif"/>
          <w:b w:val="false"/>
          <w:bCs w:val="false"/>
          <w:sz w:val="28"/>
          <w:szCs w:val="28"/>
        </w:rPr>
        <w:t>газетой "За большую Дегтярку"</w:t>
      </w:r>
      <w:r>
        <w:rPr/>
        <w:t xml:space="preserve"> данных отдельного учета печатной площади по размещению предвыборных агитационных материалов на выборах </w:t>
      </w:r>
      <w:r>
        <w:rPr>
          <w:rFonts w:cs="Times New Roman"/>
          <w:b w:val="false"/>
          <w:bCs w:val="false"/>
          <w:sz w:val="28"/>
          <w:szCs w:val="28"/>
        </w:rPr>
        <w:t>депутатов Думы муниципального округа Дегтярск Свердловской области восьмого созыва</w:t>
      </w:r>
      <w:r>
        <w:rPr>
          <w:rFonts w:cs="Liberation Serif" w:ascii="Liberation Serif" w:hAnsi="Liberation Serif"/>
          <w:b w:val="false"/>
          <w:bCs w:val="false"/>
          <w:sz w:val="28"/>
          <w:szCs w:val="28"/>
        </w:rPr>
        <w:t xml:space="preserve"> 20 сентября 2026 года</w:t>
      </w:r>
    </w:p>
    <w:p>
      <w:pPr>
        <w:pStyle w:val="Normal"/>
        <w:rPr>
          <w:rFonts w:ascii="Liberation Serif" w:hAnsi="Liberation Serif" w:cs="Liberation Serif"/>
          <w:szCs w:val="28"/>
        </w:rPr>
      </w:pPr>
      <w:r>
        <w:rPr>
          <w:rFonts w:cs="Liberation Serif" w:ascii="Liberation Serif" w:hAnsi="Liberation Serif"/>
          <w:szCs w:val="28"/>
        </w:rPr>
      </w:r>
    </w:p>
    <w:p>
      <w:pPr>
        <w:pStyle w:val="Normal"/>
        <w:numPr>
          <w:ilvl w:val="0"/>
          <w:numId w:val="1"/>
        </w:numPr>
        <w:ind w:firstLine="709" w:left="0"/>
        <w:jc w:val="both"/>
        <w:rPr>
          <w:rFonts w:ascii="Liberation Serif" w:hAnsi="Liberation Serif" w:cs="Liberation Serif"/>
          <w:szCs w:val="28"/>
        </w:rPr>
      </w:pPr>
      <w:r>
        <w:rPr>
          <w:rFonts w:cs="Liberation Serif" w:ascii="Liberation Serif" w:hAnsi="Liberation Serif"/>
          <w:szCs w:val="28"/>
        </w:rPr>
        <w:t> </w:t>
      </w:r>
      <w:r>
        <w:rPr>
          <w:rFonts w:cs="Liberation Serif" w:ascii="Liberation Serif" w:hAnsi="Liberation Serif"/>
          <w:szCs w:val="28"/>
        </w:rPr>
        <w:t xml:space="preserve">Данные отдельного учета </w:t>
      </w:r>
      <w:r>
        <w:rPr>
          <w:rFonts w:cs="Liberation Serif" w:ascii="Liberation Serif" w:hAnsi="Liberation Serif"/>
          <w:color w:themeColor="text1" w:themeTint="f2" w:val="0D0D0D"/>
          <w:szCs w:val="28"/>
          <w:shd w:fill="FFFFFF" w:val="clear"/>
        </w:rPr>
        <w:t xml:space="preserve">печатной площади по размещению предвыборных агитационных материалов в газете "За большую Дегтярку" на выборах </w:t>
      </w:r>
      <w:r>
        <w:rPr>
          <w:rFonts w:cs="Times New Roman"/>
          <w:b w:val="false"/>
          <w:bCs w:val="false"/>
          <w:color w:themeColor="text1" w:themeTint="f2" w:val="0D0D0D"/>
          <w:sz w:val="28"/>
          <w:szCs w:val="28"/>
          <w:shd w:fill="FFFFFF" w:val="clear"/>
        </w:rPr>
        <w:t>депутатов Думы муниципального округа Дегтярск Свердловской области восьмого созыва</w:t>
      </w:r>
      <w:r>
        <w:rPr>
          <w:rFonts w:cs="Liberation Serif" w:ascii="Liberation Serif" w:hAnsi="Liberation Serif"/>
          <w:color w:themeColor="text1" w:themeTint="f2" w:val="0D0D0D"/>
          <w:szCs w:val="28"/>
          <w:shd w:fill="FFFFFF" w:val="clear"/>
        </w:rPr>
        <w:t>, назначенных на 20 сентября 202</w:t>
      </w:r>
      <w:r>
        <w:rPr>
          <w:rFonts w:cs="Liberation Serif" w:ascii="Liberation Serif" w:hAnsi="Liberation Serif"/>
          <w:color w:themeColor="text1" w:themeTint="f2" w:val="0D0D0D"/>
          <w:szCs w:val="28"/>
          <w:shd w:fill="FFFFFF" w:val="clear"/>
        </w:rPr>
        <w:t>6</w:t>
      </w:r>
      <w:r>
        <w:rPr>
          <w:rFonts w:cs="Liberation Serif" w:ascii="Liberation Serif" w:hAnsi="Liberation Serif"/>
          <w:color w:themeColor="text1" w:themeTint="f2" w:val="0D0D0D"/>
          <w:szCs w:val="28"/>
          <w:shd w:fill="FFFFFF" w:val="clear"/>
        </w:rPr>
        <w:t xml:space="preserve"> года (далее – данные отдельного учета) по установленным формам </w:t>
      </w:r>
      <w:r>
        <w:rPr>
          <w:rFonts w:cs="Liberation Serif" w:ascii="Liberation Serif" w:hAnsi="Liberation Serif"/>
          <w:szCs w:val="28"/>
        </w:rPr>
        <w:t>представляются в Дегтярскую городскую территориальную избирательную комиссию в срок с 21 по 30 сентября 2026 года.</w:t>
      </w:r>
    </w:p>
    <w:p>
      <w:pPr>
        <w:pStyle w:val="Normal"/>
        <w:numPr>
          <w:ilvl w:val="0"/>
          <w:numId w:val="1"/>
        </w:numPr>
        <w:ind w:firstLine="709" w:left="0"/>
        <w:jc w:val="both"/>
        <w:rPr>
          <w:rFonts w:ascii="Liberation Serif" w:hAnsi="Liberation Serif" w:cs="Liberation Serif"/>
          <w:szCs w:val="28"/>
        </w:rPr>
      </w:pPr>
      <w:r>
        <w:rPr>
          <w:rFonts w:cs="Liberation Serif" w:ascii="Liberation Serif" w:hAnsi="Liberation Serif"/>
          <w:szCs w:val="28"/>
        </w:rPr>
        <w:t xml:space="preserve">Формы отдельного учета представляют собой файлы формата MS Excel. Один файл отдельного учета включает в себя: вкладку титульного листа, вкладки с формами учета объемов и стоимости эфирного времени, либо печатной площади, либо платных услуг по размещению материалов в сетевом издании. </w:t>
      </w:r>
    </w:p>
    <w:p>
      <w:pPr>
        <w:pStyle w:val="Normal"/>
        <w:numPr>
          <w:ilvl w:val="0"/>
          <w:numId w:val="1"/>
        </w:numPr>
        <w:ind w:firstLine="709" w:left="0"/>
        <w:jc w:val="both"/>
        <w:rPr>
          <w:rFonts w:ascii="Liberation Serif" w:hAnsi="Liberation Serif" w:cs="Liberation Serif"/>
          <w:szCs w:val="28"/>
        </w:rPr>
      </w:pPr>
      <w:r>
        <w:rPr>
          <w:rFonts w:cs="Liberation Serif" w:ascii="Liberation Serif" w:hAnsi="Liberation Serif"/>
          <w:szCs w:val="28"/>
        </w:rPr>
        <w:t>  </w:t>
      </w:r>
      <w:r>
        <w:rPr>
          <w:rFonts w:cs="Liberation Serif" w:ascii="Liberation Serif" w:hAnsi="Liberation Serif"/>
          <w:szCs w:val="28"/>
        </w:rPr>
        <w:t xml:space="preserve">Данные отдельного учета представляются в Дегтярскую городскую территориальную избирательную комиссию в электронном виде – записанными на компакт-диск (тип CD-R или </w:t>
      </w:r>
      <w:r>
        <w:rPr>
          <w:rFonts w:cs="Liberation Serif" w:ascii="Liberation Serif" w:hAnsi="Liberation Serif"/>
          <w:szCs w:val="28"/>
          <w:lang w:val="en-US"/>
        </w:rPr>
        <w:t>DVD</w:t>
      </w:r>
      <w:r>
        <w:rPr>
          <w:rFonts w:cs="Liberation Serif" w:ascii="Liberation Serif" w:hAnsi="Liberation Serif"/>
          <w:szCs w:val="28"/>
        </w:rPr>
        <w:t>-</w:t>
      </w:r>
      <w:r>
        <w:rPr>
          <w:rFonts w:cs="Liberation Serif" w:ascii="Liberation Serif" w:hAnsi="Liberation Serif"/>
          <w:szCs w:val="28"/>
          <w:lang w:val="en-US"/>
        </w:rPr>
        <w:t>R</w:t>
      </w:r>
      <w:r>
        <w:rPr>
          <w:rFonts w:cs="Liberation Serif" w:ascii="Liberation Serif" w:hAnsi="Liberation Serif"/>
          <w:szCs w:val="28"/>
        </w:rPr>
        <w:t xml:space="preserve">) или флеш-носитель с сопроводительным письмом на бумажном носителе. В качестве сопроводительного письма, приложением к которому является компакт-диск/флеш-носитель, используется заполненный титульный лист, который распечатывается, заверяется подписью руководителя и печатью организации. Прилагаемый компакт-диск рекомендуется надписывать, например, указывать имя файла. </w:t>
      </w:r>
    </w:p>
    <w:p>
      <w:pPr>
        <w:pStyle w:val="Normal"/>
        <w:numPr>
          <w:ilvl w:val="0"/>
          <w:numId w:val="1"/>
        </w:numPr>
        <w:ind w:firstLine="709" w:left="0"/>
        <w:jc w:val="both"/>
        <w:rPr>
          <w:rFonts w:ascii="Liberation Serif" w:hAnsi="Liberation Serif" w:cs="Liberation Serif"/>
          <w:szCs w:val="28"/>
        </w:rPr>
      </w:pPr>
      <w:r>
        <w:rPr>
          <w:rFonts w:cs="Liberation Serif" w:ascii="Liberation Serif" w:hAnsi="Liberation Serif"/>
          <w:szCs w:val="28"/>
        </w:rPr>
        <w:t> </w:t>
      </w:r>
      <w:r>
        <w:rPr>
          <w:rFonts w:cs="Liberation Serif" w:ascii="Liberation Serif" w:hAnsi="Liberation Serif"/>
          <w:szCs w:val="28"/>
        </w:rPr>
        <w:t xml:space="preserve">Файлы с данными отдельного учета могут представляться в электронном виде на адрес электронной почты </w:t>
      </w:r>
      <w:hyperlink r:id="rId2">
        <w:r>
          <w:rPr>
            <w:rStyle w:val="Hyperlink"/>
            <w:rFonts w:cs="Liberation Serif" w:ascii="Liberation Serif" w:hAnsi="Liberation Serif"/>
            <w:szCs w:val="28"/>
            <w:lang w:val="en-US"/>
          </w:rPr>
          <w:t>d</w:t>
        </w:r>
      </w:hyperlink>
      <w:r>
        <w:rPr>
          <w:rStyle w:val="Hyperlink"/>
          <w:rFonts w:cs="Liberation Serif" w:ascii="Liberation Serif" w:hAnsi="Liberation Serif"/>
          <w:szCs w:val="28"/>
          <w:lang w:val="en-US"/>
        </w:rPr>
        <w:t>eg@ik66.ru</w:t>
      </w:r>
      <w:r>
        <w:rPr/>
        <w:t>,</w:t>
      </w:r>
      <w:r>
        <w:rPr>
          <w:rFonts w:cs="Liberation Serif" w:ascii="Liberation Serif" w:hAnsi="Liberation Serif"/>
          <w:szCs w:val="28"/>
        </w:rPr>
        <w:t xml:space="preserve"> только при наличии в направленных файлах скан-копии титульного листа с подписью руководителя и печатью организации. </w:t>
      </w:r>
    </w:p>
    <w:p>
      <w:pPr>
        <w:pStyle w:val="Normal"/>
        <w:numPr>
          <w:ilvl w:val="0"/>
          <w:numId w:val="1"/>
        </w:numPr>
        <w:ind w:firstLine="709" w:left="0"/>
        <w:jc w:val="both"/>
        <w:rPr>
          <w:rFonts w:ascii="Liberation Serif" w:hAnsi="Liberation Serif" w:cs="Liberation Serif"/>
          <w:szCs w:val="28"/>
        </w:rPr>
      </w:pPr>
      <w:r>
        <w:rPr>
          <w:rFonts w:cs="Liberation Serif" w:ascii="Liberation Serif" w:hAnsi="Liberation Serif"/>
          <w:szCs w:val="28"/>
        </w:rPr>
        <w:t>Отсутствие файла на компакт-диске/флеш-носителе, невозможность считать файл (в том числе направленный на электронную почту) является непредставлением данных отдельного учета в избирательную комиссию, о чем последняя незамедлительно уведомляет соответствующую организацию.</w:t>
      </w:r>
    </w:p>
    <w:p>
      <w:pPr>
        <w:pStyle w:val="Normal"/>
        <w:numPr>
          <w:ilvl w:val="0"/>
          <w:numId w:val="1"/>
        </w:numPr>
        <w:ind w:firstLine="709" w:left="0"/>
        <w:jc w:val="both"/>
        <w:rPr>
          <w:rFonts w:ascii="Liberation Serif" w:hAnsi="Liberation Serif" w:cs="Liberation Serif"/>
          <w:szCs w:val="28"/>
        </w:rPr>
      </w:pPr>
      <w:r>
        <w:rPr>
          <w:rFonts w:cs="Liberation Serif" w:ascii="Liberation Serif" w:hAnsi="Liberation Serif"/>
          <w:szCs w:val="28"/>
        </w:rPr>
        <w:t xml:space="preserve">В соответствии с пунктами 9, 11 статьи 65 Избирательного кодекса Свердловской </w:t>
      </w:r>
      <w:r>
        <w:rPr>
          <w:rFonts w:cs="Liberation Serif" w:ascii="Liberation Serif" w:hAnsi="Liberation Serif"/>
          <w:szCs w:val="28"/>
          <w:lang w:val="en-US"/>
        </w:rPr>
        <w:t xml:space="preserve">области </w:t>
      </w:r>
      <w:r>
        <w:rPr>
          <w:rFonts w:cs="Liberation Serif" w:ascii="Liberation Serif" w:hAnsi="Liberation Serif"/>
          <w:color w:themeColor="text1" w:themeTint="f2" w:val="0D0D0D"/>
          <w:szCs w:val="28"/>
          <w:shd w:fill="FFFFFF" w:val="clear"/>
          <w:lang w:val="en-US"/>
        </w:rPr>
        <w:t>редакци</w:t>
      </w:r>
      <w:r>
        <w:rPr>
          <w:rFonts w:cs="Liberation Serif" w:ascii="Liberation Serif" w:hAnsi="Liberation Serif"/>
          <w:color w:themeColor="text1" w:themeTint="f2" w:val="0D0D0D"/>
          <w:szCs w:val="28"/>
          <w:shd w:fill="FFFFFF" w:val="clear"/>
          <w:lang w:val="ru-RU"/>
        </w:rPr>
        <w:t xml:space="preserve">я газеты </w:t>
      </w:r>
      <w:r>
        <w:rPr>
          <w:rFonts w:cs="Liberation Serif" w:ascii="Liberation Serif" w:hAnsi="Liberation Serif"/>
          <w:b w:val="false"/>
          <w:bCs w:val="false"/>
          <w:color w:themeColor="text1" w:themeTint="f2" w:val="0D0D0D"/>
          <w:sz w:val="28"/>
          <w:szCs w:val="28"/>
          <w:shd w:fill="FFFFFF" w:val="clear"/>
          <w:lang w:val="ru-RU"/>
        </w:rPr>
        <w:t>"За большую Дегтярку"</w:t>
      </w:r>
      <w:r>
        <w:rPr>
          <w:rFonts w:cs="Liberation Serif" w:ascii="Liberation Serif" w:hAnsi="Liberation Serif"/>
          <w:color w:themeColor="text1" w:themeTint="f2" w:val="0D0D0D"/>
          <w:szCs w:val="28"/>
          <w:shd w:fill="FFFFFF" w:val="clear"/>
        </w:rPr>
        <w:t xml:space="preserve"> обязана хранить данные отдельного учета, а также договоры, заключенные между редакцией газеты </w:t>
      </w:r>
      <w:r>
        <w:rPr>
          <w:rFonts w:cs="Liberation Serif" w:ascii="Liberation Serif" w:hAnsi="Liberation Serif"/>
          <w:b w:val="false"/>
          <w:bCs w:val="false"/>
          <w:color w:themeColor="text1" w:themeTint="f2" w:val="0D0D0D"/>
          <w:sz w:val="28"/>
          <w:szCs w:val="28"/>
          <w:shd w:fill="FFFFFF" w:val="clear"/>
        </w:rPr>
        <w:t>"За большую Дегтярку"</w:t>
      </w:r>
      <w:r>
        <w:rPr>
          <w:rFonts w:cs="Liberation Serif" w:ascii="Liberation Serif" w:hAnsi="Liberation Serif"/>
          <w:color w:themeColor="text1" w:themeTint="f2" w:val="0D0D0D"/>
          <w:szCs w:val="28"/>
          <w:shd w:fill="FFFFFF" w:val="clear"/>
        </w:rPr>
        <w:t xml:space="preserve"> и кандидатами не менее трех лет после дня голосования.</w:t>
      </w:r>
    </w:p>
    <w:p>
      <w:pPr>
        <w:pStyle w:val="ListParagraph"/>
        <w:spacing w:lineRule="auto" w:line="360"/>
        <w:ind w:left="709"/>
        <w:jc w:val="both"/>
        <w:rPr>
          <w:rFonts w:ascii="Liberation Serif" w:hAnsi="Liberation Serif" w:cs="Liberation Serif"/>
          <w:szCs w:val="28"/>
        </w:rPr>
      </w:pPr>
      <w:r>
        <w:rPr>
          <w:rFonts w:cs="Liberation Serif" w:ascii="Liberation Serif" w:hAnsi="Liberation Serif"/>
          <w:szCs w:val="28"/>
        </w:rPr>
      </w:r>
    </w:p>
    <w:p>
      <w:pPr>
        <w:pStyle w:val="Normal"/>
        <w:jc w:val="both"/>
        <w:rPr>
          <w:rFonts w:ascii="Liberation Serif" w:hAnsi="Liberation Serif" w:cs="Liberation Serif"/>
          <w:szCs w:val="28"/>
        </w:rPr>
      </w:pPr>
      <w:r>
        <w:rPr>
          <w:rFonts w:cs="Liberation Serif" w:ascii="Liberation Serif" w:hAnsi="Liberation Serif"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850" w:gutter="0" w:header="709" w:top="1134" w:footer="0" w:bottom="1134"/>
      <w:pgNumType w:start="1"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  <w:font w:name="Times New Roman CYR">
    <w:charset w:val="cc"/>
    <w:family w:val="roman"/>
    <w:pitch w:val="variable"/>
  </w:font>
  <w:font w:name="Tahoma">
    <w:charset w:val="cc"/>
    <w:family w:val="swiss"/>
    <w:pitch w:val="variable"/>
  </w:font>
  <w:font w:name="Arial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Verdana"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2901912"/>
    </w:sdtPr>
    <w:sdtContent>
      <w:p>
        <w:pPr>
          <w:pStyle w:val="Head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925" w:hanging="357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282" w:hanging="357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39" w:hanging="357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96" w:hanging="357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353" w:hanging="357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10" w:hanging="357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67" w:hanging="35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4" w:hanging="357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781" w:hanging="357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 w:eastAsiaTheme="minorHAnsi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50cfb"/>
    <w:pPr>
      <w:widowControl/>
      <w:suppressAutoHyphens w:val="true"/>
      <w:bidi w:val="0"/>
      <w:spacing w:before="0" w:after="0"/>
      <w:jc w:val="center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ru-RU" w:eastAsia="ru-RU" w:bidi="ar-SA"/>
    </w:rPr>
  </w:style>
  <w:style w:type="paragraph" w:styleId="Heading4">
    <w:name w:val="heading 4"/>
    <w:basedOn w:val="Normal"/>
    <w:next w:val="Normal"/>
    <w:qFormat/>
    <w:pPr>
      <w:keepNext w:val="true"/>
      <w:numPr>
        <w:ilvl w:val="0"/>
        <w:numId w:val="0"/>
      </w:numPr>
      <w:ind w:left="-113" w:right="-113"/>
      <w:jc w:val="center"/>
      <w:outlineLvl w:val="3"/>
    </w:pPr>
    <w:rPr>
      <w:rFonts w:ascii="Times New Roman" w:hAnsi="Times New Roman"/>
      <w:b/>
      <w:bCs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Верхний колонтитул Знак"/>
    <w:basedOn w:val="DefaultParagraphFont"/>
    <w:uiPriority w:val="99"/>
    <w:qFormat/>
    <w:rsid w:val="00350cfb"/>
    <w:rPr>
      <w:rFonts w:ascii="Times New Roman" w:hAnsi="Times New Roman" w:eastAsia="Times New Roman"/>
      <w:sz w:val="22"/>
      <w:szCs w:val="24"/>
      <w:lang w:eastAsia="ru-RU"/>
    </w:rPr>
  </w:style>
  <w:style w:type="character" w:styleId="Style14" w:customStyle="1">
    <w:name w:val="Нижний колонтитул Знак"/>
    <w:basedOn w:val="DefaultParagraphFont"/>
    <w:uiPriority w:val="99"/>
    <w:semiHidden/>
    <w:qFormat/>
    <w:rsid w:val="00277dfa"/>
    <w:rPr>
      <w:rFonts w:ascii="Times New Roman" w:hAnsi="Times New Roman" w:eastAsia="Times New Roman"/>
      <w:sz w:val="28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205afe"/>
    <w:rPr>
      <w:color w:themeColor="hyperlink" w:val="0000FF"/>
      <w:u w:val="single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91117f"/>
    <w:rPr>
      <w:rFonts w:ascii="Times New Roman" w:hAnsi="Times New Roman" w:eastAsia="Times New Roman"/>
      <w:lang w:eastAsia="ru-RU"/>
    </w:rPr>
  </w:style>
  <w:style w:type="character" w:styleId="user">
    <w:name w:val="Символ сноски (user)"/>
    <w:basedOn w:val="DefaultParagraphFont"/>
    <w:uiPriority w:val="99"/>
    <w:semiHidden/>
    <w:unhideWhenUsed/>
    <w:qFormat/>
    <w:rsid w:val="0091117f"/>
    <w:rPr>
      <w:vertAlign w:val="superscript"/>
    </w:rPr>
  </w:style>
  <w:style w:type="character" w:styleId="Style16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3">
    <w:name w:val="s3"/>
    <w:basedOn w:val="DefaultParagraphFont"/>
    <w:qFormat/>
    <w:rPr/>
  </w:style>
  <w:style w:type="character" w:styleId="s2">
    <w:name w:val="s2"/>
    <w:basedOn w:val="DefaultParagraphFont"/>
    <w:qFormat/>
    <w:rPr/>
  </w:style>
  <w:style w:type="character" w:styleId="10">
    <w:name w:val="Основной текст + 10"/>
    <w:qFormat/>
    <w:rPr>
      <w:rFonts w:ascii="Times New Roman" w:hAnsi="Times New Roman" w:cs="Times New Roman"/>
      <w:color w:val="000000"/>
      <w:spacing w:val="5"/>
      <w:w w:val="100"/>
      <w:sz w:val="21"/>
      <w:szCs w:val="21"/>
      <w:u w:val="none"/>
      <w:lang w:val="ru-RU"/>
    </w:rPr>
  </w:style>
  <w:style w:type="character" w:styleId="FontStyle12">
    <w:name w:val="Font Style12"/>
    <w:qFormat/>
    <w:rPr>
      <w:rFonts w:ascii="Times New Roman" w:hAnsi="Times New Roman" w:cs="Times New Roman"/>
      <w:b/>
      <w:bCs/>
      <w:sz w:val="26"/>
      <w:szCs w:val="26"/>
    </w:rPr>
  </w:style>
  <w:style w:type="character" w:styleId="3">
    <w:name w:val="Основной текст (3)_"/>
    <w:qFormat/>
    <w:rPr>
      <w:sz w:val="23"/>
      <w:szCs w:val="23"/>
      <w:lang w:bidi="ar-SA"/>
    </w:rPr>
  </w:style>
  <w:style w:type="character" w:styleId="1">
    <w:name w:val="Знак Знак1"/>
    <w:qFormat/>
    <w:rPr>
      <w:sz w:val="27"/>
      <w:szCs w:val="27"/>
      <w:lang w:bidi="ar-SA"/>
    </w:rPr>
  </w:style>
  <w:style w:type="character" w:styleId="4">
    <w:name w:val="Заголовок 4 Знак"/>
    <w:qFormat/>
    <w:rPr>
      <w:b/>
      <w:bCs/>
      <w:sz w:val="24"/>
      <w:lang w:val="ru-RU" w:eastAsia="ru-RU" w:bidi="ar-SA"/>
    </w:rPr>
  </w:style>
  <w:style w:type="character" w:styleId="Style17">
    <w:name w:val="Основной текст Знак"/>
    <w:qFormat/>
    <w:rPr>
      <w:rFonts w:ascii="Times New Roman CYR" w:hAnsi="Times New Roman CYR"/>
      <w:lang w:val="ru-RU" w:eastAsia="ru-RU" w:bidi="ar-SA"/>
    </w:rPr>
  </w:style>
  <w:style w:type="character" w:styleId="Style18">
    <w:name w:val="Текст выноски Знак"/>
    <w:qFormat/>
    <w:rPr>
      <w:rFonts w:ascii="Tahoma" w:hAnsi="Tahoma" w:cs="Tahoma"/>
      <w:sz w:val="16"/>
      <w:szCs w:val="16"/>
      <w:lang w:val="ru-RU" w:eastAsia="ru-RU" w:bidi="ar-SA"/>
    </w:rPr>
  </w:style>
  <w:style w:type="character" w:styleId="a121">
    <w:name w:val="a121"/>
    <w:qFormat/>
    <w:rPr>
      <w:rFonts w:ascii="Arial" w:hAnsi="Arial" w:cs="Arial"/>
      <w:i w:val="false"/>
      <w:iCs w:val="false"/>
      <w:color w:val="000000"/>
      <w:spacing w:val="0"/>
      <w:sz w:val="20"/>
      <w:szCs w:val="20"/>
    </w:rPr>
  </w:style>
  <w:style w:type="character" w:styleId="PageNumber">
    <w:name w:val="page number"/>
    <w:basedOn w:val="DefaultParagraphFont"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Arial"/>
    </w:rPr>
  </w:style>
  <w:style w:type="paragraph" w:styleId="Style21">
    <w:name w:val="Колонтитулы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3"/>
    <w:uiPriority w:val="99"/>
    <w:rsid w:val="00350cfb"/>
    <w:pPr>
      <w:tabs>
        <w:tab w:val="clear" w:pos="708"/>
        <w:tab w:val="center" w:pos="4677" w:leader="none"/>
        <w:tab w:val="right" w:pos="9355" w:leader="none"/>
      </w:tabs>
    </w:pPr>
    <w:rPr>
      <w:sz w:val="22"/>
    </w:rPr>
  </w:style>
  <w:style w:type="paragraph" w:styleId="ListParagraph">
    <w:name w:val="List Paragraph"/>
    <w:basedOn w:val="Normal"/>
    <w:uiPriority w:val="34"/>
    <w:qFormat/>
    <w:rsid w:val="00350cfb"/>
    <w:pPr>
      <w:spacing w:before="0" w:after="0"/>
      <w:ind w:left="720"/>
      <w:contextualSpacing/>
    </w:pPr>
    <w:rPr/>
  </w:style>
  <w:style w:type="paragraph" w:styleId="Footer">
    <w:name w:val="footer"/>
    <w:basedOn w:val="Normal"/>
    <w:link w:val="Style14"/>
    <w:uiPriority w:val="99"/>
    <w:semiHidden/>
    <w:unhideWhenUsed/>
    <w:rsid w:val="00277df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link w:val="Style15"/>
    <w:uiPriority w:val="99"/>
    <w:semiHidden/>
    <w:unhideWhenUsed/>
    <w:rsid w:val="0091117f"/>
    <w:pPr/>
    <w:rPr>
      <w:sz w:val="20"/>
      <w:szCs w:val="20"/>
    </w:rPr>
  </w:style>
  <w:style w:type="paragraph" w:styleId="Style22">
    <w:name w:val="Содержимое врезки"/>
    <w:basedOn w:val="Normal"/>
    <w:qFormat/>
    <w:pPr/>
    <w:rPr/>
  </w:style>
  <w:style w:type="paragraph" w:styleId="user3">
    <w:name w:val="Содержимое врезки (user)"/>
    <w:basedOn w:val="Normal"/>
    <w:qFormat/>
    <w:pPr/>
    <w:rPr/>
  </w:style>
  <w:style w:type="paragraph" w:styleId="14-15">
    <w:name w:val="14-15"/>
    <w:basedOn w:val="Normal"/>
    <w:qFormat/>
    <w:pPr>
      <w:spacing w:lineRule="auto" w:line="360"/>
      <w:ind w:firstLine="709"/>
      <w:jc w:val="both"/>
    </w:pPr>
    <w:rPr>
      <w:rFonts w:ascii="Times New Roman" w:hAnsi="Times New Roman"/>
      <w:sz w:val="28"/>
      <w:szCs w:val="28"/>
    </w:rPr>
  </w:style>
  <w:style w:type="paragraph" w:styleId="31">
    <w:name w:val="Основной текст (3)"/>
    <w:basedOn w:val="Normal"/>
    <w:qFormat/>
    <w:pPr>
      <w:shd w:val="clear" w:fill="FFFFFF"/>
      <w:spacing w:lineRule="exact" w:line="274"/>
      <w:jc w:val="both"/>
    </w:pPr>
    <w:rPr>
      <w:rFonts w:ascii="Times New Roman" w:hAnsi="Times New Roman"/>
      <w:sz w:val="23"/>
      <w:szCs w:val="23"/>
    </w:rPr>
  </w:style>
  <w:style w:type="paragraph" w:styleId="11">
    <w:name w:val="Обычный1"/>
    <w:qFormat/>
    <w:pPr>
      <w:widowControl/>
      <w:suppressAutoHyphens w:val="true"/>
      <w:bidi w:val="0"/>
      <w:snapToGrid w:val="false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p1">
    <w:name w:val="p1"/>
    <w:basedOn w:val="Normal"/>
    <w:qFormat/>
    <w:pPr>
      <w:spacing w:before="280" w:after="280"/>
    </w:pPr>
    <w:rPr>
      <w:rFonts w:ascii="Times New Roman" w:hAnsi="Times New Roman"/>
      <w:sz w:val="24"/>
      <w:szCs w:val="24"/>
    </w:rPr>
  </w:style>
  <w:style w:type="paragraph" w:styleId="BodyTextIndent3">
    <w:name w:val="Body Text Indent 3"/>
    <w:basedOn w:val="Normal"/>
    <w:qFormat/>
    <w:pPr>
      <w:spacing w:before="0" w:after="120"/>
      <w:ind w:left="283"/>
    </w:pPr>
    <w:rPr>
      <w:sz w:val="16"/>
      <w:szCs w:val="16"/>
    </w:rPr>
  </w:style>
  <w:style w:type="paragraph" w:styleId="Style23">
    <w:name w:val="Знак"/>
    <w:basedOn w:val="Normal"/>
    <w:qFormat/>
    <w:pPr>
      <w:spacing w:lineRule="exact" w:line="240" w:before="0" w:after="160"/>
    </w:pPr>
    <w:rPr>
      <w:rFonts w:ascii="Verdana" w:hAnsi="Verdana" w:cs="Verdana"/>
      <w:lang w:val="en-US" w:eastAsia="en-US"/>
    </w:rPr>
  </w:style>
  <w:style w:type="paragraph" w:styleId="12">
    <w:name w:val="Знак Знак Знак1 Знак Знак Знак Знак"/>
    <w:basedOn w:val="Normal"/>
    <w:qFormat/>
    <w:pPr>
      <w:spacing w:before="280" w:after="280"/>
    </w:pPr>
    <w:rPr>
      <w:rFonts w:ascii="Tahoma" w:hAnsi="Tahoma"/>
      <w:lang w:val="en-US" w:eastAsia="en-US"/>
    </w:rPr>
  </w:style>
  <w:style w:type="paragraph" w:styleId="Style24">
    <w:name w:val="Знак Знак Знак Знак Знак Знак Знак Знак Знак Знак"/>
    <w:basedOn w:val="Normal"/>
    <w:qFormat/>
    <w:pPr>
      <w:spacing w:lineRule="exact" w:line="240" w:before="0" w:after="160"/>
    </w:pPr>
    <w:rPr>
      <w:rFonts w:ascii="Verdana" w:hAnsi="Verdana" w:cs="Verdana"/>
      <w:lang w:val="en-US" w:eastAsia="en-US"/>
    </w:rPr>
  </w:style>
  <w:style w:type="paragraph" w:styleId="BodyTextIndent">
    <w:name w:val="Body Text Indent"/>
    <w:basedOn w:val="Normal"/>
    <w:pPr>
      <w:spacing w:lineRule="auto" w:line="360"/>
      <w:ind w:firstLine="709"/>
      <w:jc w:val="both"/>
    </w:pPr>
    <w:rPr>
      <w:rFonts w:ascii="Times New Roman" w:hAnsi="Times New Roman"/>
      <w:sz w:val="28"/>
      <w:szCs w:val="24"/>
    </w:rPr>
  </w:style>
  <w:style w:type="paragraph" w:styleId="ConsNormal">
    <w:name w:val="Con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16"/>
      <w:szCs w:val="16"/>
      <w:lang w:val="ru-RU" w:eastAsia="ru-RU" w:bidi="ar-SA"/>
    </w:rPr>
  </w:style>
  <w:style w:type="paragraph" w:styleId="BodyText2">
    <w:name w:val="Body Text 2"/>
    <w:basedOn w:val="Normal"/>
    <w:qFormat/>
    <w:pPr>
      <w:jc w:val="center"/>
    </w:pPr>
    <w:rPr>
      <w:rFonts w:ascii="Times New Roman" w:hAnsi="Times New Roman"/>
      <w:b/>
      <w:bCs/>
      <w:sz w:val="32"/>
      <w:szCs w:val="34"/>
    </w:rPr>
  </w:style>
  <w:style w:type="paragraph" w:styleId="13">
    <w:name w:val="Абзац1"/>
    <w:basedOn w:val="Normal"/>
    <w:qFormat/>
    <w:pPr>
      <w:widowControl w:val="false"/>
      <w:spacing w:before="0" w:after="120"/>
      <w:ind w:firstLine="720"/>
      <w:jc w:val="both"/>
    </w:pPr>
    <w:rPr>
      <w:rFonts w:ascii="Times New Roman" w:hAnsi="Times New Roman"/>
      <w:sz w:val="28"/>
      <w:szCs w:val="28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5">
    <w:name w:val="Документ ИКСО"/>
    <w:basedOn w:val="Normal"/>
    <w:qFormat/>
    <w:pPr>
      <w:spacing w:lineRule="auto" w:line="360" w:before="120" w:after="0"/>
      <w:ind w:firstLine="709"/>
      <w:jc w:val="both"/>
    </w:pPr>
    <w:rPr>
      <w:sz w:val="28"/>
      <w:szCs w:val="28"/>
    </w:rPr>
  </w:style>
  <w:style w:type="paragraph" w:styleId="14">
    <w:name w:val="заголовок 1"/>
    <w:basedOn w:val="Normal"/>
    <w:next w:val="Normal"/>
    <w:qFormat/>
    <w:pPr>
      <w:keepNext w:val="true"/>
      <w:numPr>
        <w:ilvl w:val="0"/>
        <w:numId w:val="0"/>
      </w:numPr>
      <w:jc w:val="center"/>
      <w:outlineLvl w:val="0"/>
    </w:pPr>
    <w:rPr>
      <w:rFonts w:ascii="Times New Roman" w:hAnsi="Times New Roman"/>
      <w:sz w:val="28"/>
    </w:rPr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ov@ik66.ru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AF0659-3D5D-436B-99A0-F7CDA362A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LibreOffice/25.2.4.3$Windows_x86 LibreOffice_project/33e196637044ead23f5c3226cde09b47731f7e27</Application>
  <AppVersion>15.0000</AppVersion>
  <DocSecurity>4</DocSecurity>
  <Pages>2</Pages>
  <Words>309</Words>
  <Characters>2153</Characters>
  <CharactersWithSpaces>2455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2024-06-03T09:30:00Z</dcterms:created>
  <dc:creator>Подкорытова Ольга Вадимовна</dc:creator>
  <dc:description/>
  <dc:language>ru-RU</dc:language>
  <cp:lastModifiedBy/>
  <cp:lastPrinted>2022-05-31T06:46:00Z</cp:lastPrinted>
  <dcterms:modified xsi:type="dcterms:W3CDTF">2026-08-03T08:50:42Z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